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T-24</w:t>
      </w:r>
    </w:p>
    <w:p>
      <w:pPr>
        <w:pStyle w:val="Title"/>
      </w:pPr>
      <w:r>
        <w:t>KPI Dictionary and AI Use-Case Validation Checklist</w:t>
      </w:r>
    </w:p>
    <w:p>
      <w:r>
        <w:rPr>
          <w:i/>
          <w:color w:val="595959"/>
          <w:sz w:val="21"/>
        </w:rPr>
        <w:t>Part A: one definition per metric, with its pair · Part B: a gate before any automated function enters the signal process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Part A defines each signal-management metric so that every site calculates it the same way, and pairs every speed metric with a quality metric. Part B is the checklist a team completes before an automated or AI function enters the signal process, or returns to service.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Part A: before any metric goes on a leadership dashboard (a metric with no entry does not go on it); review yearly and whenever a process, system or SOP changes a start or stop event. Part B: before go-live and after any suspension.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26, Signal Management Metrics — section 26.5 (Tables 26.1 and 26.2); Chapter 27, AI, Automation and Real-World Data — section 27.5 (Tables 27.1 and 27.2).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KPI dictionary</w:t>
      </w:r>
    </w:p>
    <w:p>
      <w:r>
        <w:rPr>
          <w:b w:val="0"/>
        </w:rPr>
        <w:t>Start from the decisions the metrics must support, not from the data that is easy to extract.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736"/>
        <w:gridCol w:w="2160"/>
        <w:gridCol w:w="1584"/>
        <w:gridCol w:w="1152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Definition (numerator ÷ denominator)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Clock or scope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Paired with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Gaming test (one per KPI)</w:t>
      </w:r>
    </w:p>
    <w:p>
      <w:r>
        <w:rPr>
          <w:b w:val="0"/>
        </w:rPr>
        <w:t>If a team wanted to improve this number without improving the work, how would it do it? If the answer is easy, tighten the definition or strengthen the pair.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60"/>
        <w:gridCol w:w="3600"/>
        <w:gridCol w:w="3600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How it could be gamed</w:t>
            </w:r>
          </w:p>
        </w:tc>
        <w:tc>
          <w:tcPr>
            <w:tcW w:type="dxa" w:w="360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Countermeasure (definition change or pair)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Paired dashboard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1584"/>
        <w:gridCol w:w="2160"/>
        <w:gridCol w:w="1584"/>
        <w:gridCol w:w="2015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Speed metric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Baseline → current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Paired quality metric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Baseline → current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Paired status (both in range?)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Definition change log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52"/>
        <w:gridCol w:w="1728"/>
        <w:gridCol w:w="3311"/>
        <w:gridCol w:w="1872"/>
        <w:gridCol w:w="1296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Change to definition (start/stop event, scope)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Trend lines marked? (Y/N)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Mark any trend line that crosses a definition change so it is not misread as a real shift in performance.</w:t>
      </w:r>
    </w:p>
    <w:p>
      <w:pPr>
        <w:pStyle w:val="Heading1"/>
      </w:pPr>
      <w:r>
        <w:t>Part B — AI use-case validation checklist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Function / tool name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Model 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Vendor or internal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Checklist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7"/>
        <w:gridCol w:w="2879"/>
        <w:gridCol w:w="2304"/>
        <w:gridCol w:w="1152"/>
        <w:gridCol w:w="1295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Entry for this function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What decision does the output feed?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Consequence of error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Which error could harm a patient or breach a deadline?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Performance by class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Is sensitivity for the high-consequence class (e.g., injury) estimated with an interval, against a stricter acceptance criterion than the overall target?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Validation sample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Is the validation set representative, and enriched for rare high-consequence cases?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Human checkpoints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Which decisions require a named human reading the source text?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Traceability and change control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Are model version, input, output and reviewer changes recorded?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Ongoing monitoring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Which subgroup-level metrics are sampled after go-live, how often, and with what trigger?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Suspension and fallback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What suspends the function, and what manual process takes over?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Overall accuracy hides the errors that matter: report performance separately for each consequence class and weight errors by consequence. Acceptance criteria are company-designed and justified in the validation plan. A function does not go live, or return to service, until every item is closed.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Sign-off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Quality systems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"The manufacturer" (unnamed, company-wide metrics) and the company-wide NLP complaint-coding tool.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736"/>
        <w:gridCol w:w="2304"/>
        <w:gridCol w:w="1440"/>
        <w:gridCol w:w="1152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Clock or scope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Paired with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Median complaint closure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Median days, all complaints closed in period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Start: receipt by any company channel; stop: closure approval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Returned-device evaluation rate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Complaint-handling lead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Returned-device evaluation rate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 devices with a documented engineering evaluation and conclusion ÷ returned devices received in period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Visual-only inspection does not count unless the SOP justifies it for that failure mode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Median complaint closure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Product engineering lead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Reopened-signal rate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Signals reopened because new evidence contradicted the conclusion ÷ signals closed in the prior 12 months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Planned periodic reviews that confirm the conclusion are excluded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Median time to signal closure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CAPA effectiveness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CAPAs meeting their written criterion ÷ CAPAs due for effectiveness check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Criterion must be written before the check period starts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Recurrence of the same failure mode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Quality/CAPA owner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26.2 — Extract from the Tool T-24 KPI dictionary.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1584"/>
        <w:gridCol w:w="2160"/>
        <w:gridCol w:w="1584"/>
        <w:gridCol w:w="2015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Speed metric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Baseline → target year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Paired quality metric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Baseline → target year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Paired status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Median complaint closure (days)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45 → 20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Returned-device evaluation rate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70% → 38%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Red: speed bought with quality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Median time to signal closure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Tracked from next quarter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Reopened-signal rate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4% → 15%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Red: closures overturned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26.1 — The manufacturer's paired dashboard after redesign.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592"/>
        <w:gridCol w:w="2592"/>
        <w:gridCol w:w="1152"/>
        <w:gridCol w:w="1296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NLP coding tool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What decision does the output feed?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IMDRF coding; reportability suggestion (suspended)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Revised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Consequence of error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Which error could harm a patient or breach a deadline?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Injury coded as "no health consequence"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Defined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Safety physician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Performance by class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Is sensitivity for injury estimated with an interval?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Not in first audit; enriched set in progress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PMS analyst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Human checkpoints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Which decisions require a named human reading the source text?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Reportability for any health-effect mention; validation; closure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Complaint-handling lead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Traceability and change control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Are model version, input, output and reviewer changes recorded?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Version logged; override rate reported monthly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Quality systems lead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27.2 — Extract from the Tool T-24 AI use-case validation checklist.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1872"/>
        <w:gridCol w:w="1584"/>
        <w:gridCol w:w="1296"/>
        <w:gridCol w:w="2736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95% CI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What the headline hid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NLP coding tool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Agreement, all complaints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178/200 = 89%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83.9–92.6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 injuries coded "no health consequence"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NLP coding tool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Injury coded as harmless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4/200 = 2%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0.8–5.0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Each is a possible missed report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Lumora, 3 updated sites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Sensitivity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129/150 = 86%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79.5–90.7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Zero complaints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Lumora, other sampled sites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Sensitivity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279/300 = 93%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89.5–95.4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Premarket figure was 94% (470/500)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27.1 — Two monitoring results and what the headline number concealed (1,000 complaints coded; audit of 200 found 22 miscoded, 11%).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T-24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T-24 — KPI Dictionary and AI Use-Case Validation Checklist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