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2E6DA4"/>
          <w:sz w:val="20"/>
          <w:szCs w:val="20"/>
        </w:rPr>
        <w:t xml:space="preserve">CASE E</w:t>
      </w:r>
    </w:p>
    <w:p>
      <w:pPr>
        <w:pStyle w:val="Heading1"/>
        <w:spacing w:after="120"/>
      </w:pPr>
      <w:r>
        <w:rPr>
          <w:b/>
          <w:bCs/>
          <w:color w:val="1F3A5F"/>
          <w:sz w:val="32"/>
          <w:szCs w:val="32"/>
        </w:rPr>
        <w:t xml:space="preserve">GT-5, AAV gene therapy, rare neuromuscular disease</w:t>
      </w:r>
    </w:p>
    <w:p>
      <w:pPr>
        <w:pBdr>
          <w:left w:val="single" w:color="D08A00" w:sz="18" w:space="6"/>
        </w:pBdr>
        <w:shd w:fill="FFF4E0" w:color="auto" w:val="clear"/>
        <w:spacing w:after="240"/>
      </w:pPr>
      <w:r>
        <w:rPr>
          <w:i/>
          <w:iCs/>
          <w:sz w:val="19"/>
          <w:szCs w:val="19"/>
        </w:rPr>
        <w:t xml:space="preserve">Fictional programme. All product names, codes, dates and data are invented for training and do not describe any real product, company or trial.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1"/>
                <w:szCs w:val="21"/>
              </w:rPr>
              <w:t xml:space="preserve">Setting</w:t>
            </w:r>
          </w:p>
        </w:tc>
        <w:tc>
          <w:tcPr>
            <w:tcW w:type="dxa" w:w="696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Single-arm Phase 1/2 (12 subjects) and Phase 3 (24 subjects), both completed; long-term follow-up study ongoing</w:t>
            </w:r>
          </w:p>
        </w:tc>
      </w:tr>
      <w:tr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1"/>
                <w:szCs w:val="21"/>
              </w:rPr>
              <w:t xml:space="preserve">DIBD and DLP</w:t>
            </w:r>
          </w:p>
        </w:tc>
        <w:tc>
          <w:tcPr>
            <w:tcW w:type="dxa" w:w="696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DIBD 18 October 2019; DLP 17 October each year</w:t>
            </w:r>
          </w:p>
        </w:tc>
      </w:tr>
      <w:tr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1"/>
                <w:szCs w:val="21"/>
              </w:rPr>
              <w:t xml:space="preserve">Trials covered</w:t>
            </w:r>
          </w:p>
        </w:tc>
        <w:tc>
          <w:tcPr>
            <w:tcW w:type="dxa" w:w="696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GT-101 and GT-301 (completed); GT-LTFU (ongoing, follow-up only)</w:t>
            </w:r>
          </w:p>
        </w:tc>
      </w:tr>
      <w:tr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1"/>
                <w:szCs w:val="21"/>
              </w:rPr>
              <w:t xml:space="preserve">RSI history</w:t>
            </w:r>
          </w:p>
        </w:tc>
        <w:tc>
          <w:tcPr>
            <w:tcW w:type="dxa" w:w="696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IB Edition 7; hepatotoxicity and immune responses listed; oncogenicity a theoretical risk</w:t>
            </w:r>
          </w:p>
        </w:tc>
      </w:tr>
      <w:tr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1"/>
                <w:szCs w:val="21"/>
              </w:rPr>
              <w:t xml:space="preserve">Key safety events</w:t>
            </w:r>
          </w:p>
        </w:tc>
        <w:tc>
          <w:tcPr>
            <w:tcW w:type="dxa" w:w="696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Transaminase rises in the first eight weeks after dosing, managed with corticosteroids; no new events in follow-up this period; development ending in some regions</w:t>
            </w:r>
          </w:p>
        </w:tc>
      </w:tr>
      <w:tr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1"/>
                <w:szCs w:val="21"/>
              </w:rPr>
              <w:t xml:space="preserve">What it tests</w:t>
            </w:r>
          </w:p>
        </w:tc>
        <w:tc>
          <w:tcPr>
            <w:tcW w:type="dxa" w:w="696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Tiny denominators; delayed and theoretical risks; follow-up as the only new data (Section 8.3); the final-DSUR statement</w:t>
            </w:r>
          </w:p>
        </w:tc>
      </w:tr>
      <w:tr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8EE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5F"/>
                <w:sz w:val="21"/>
                <w:szCs w:val="21"/>
              </w:rPr>
              <w:t xml:space="preserve">Chapters</w:t>
            </w:r>
          </w:p>
        </w:tc>
        <w:tc>
          <w:tcPr>
            <w:tcW w:type="dxa" w:w="696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5, 9, 11, 16</w:t>
            </w:r>
          </w:p>
        </w:tc>
      </w:tr>
    </w:tbl>
    <w:p>
      <w:pPr>
        <w:spacing w:before="240"/>
      </w:pPr>
      <w:r>
        <w:rPr>
          <w:color w:val="555555"/>
          <w:sz w:val="18"/>
          <w:szCs w:val="18"/>
        </w:rPr>
        <w:t xml:space="preserve">Part of the companion materials for the Selim Medical Press manual on writing Development Safety Update Reports. See the repository README for licence terms.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DSUR Workbench · Selim Medical Press · CC BY-NC 4.0 · Fictional case for training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2026-09-28T03:38:20.322Z</dcterms:created>
  <dcterms:modified xsi:type="dcterms:W3CDTF">2026-09-28T03:38:20.322Z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