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6DA4"/>
          <w:sz w:val="20"/>
          <w:szCs w:val="20"/>
        </w:rPr>
        <w:t xml:space="preserve">CASE F</w:t>
      </w:r>
    </w:p>
    <w:p>
      <w:pPr>
        <w:pStyle w:val="Heading1"/>
        <w:spacing w:after="120"/>
      </w:pPr>
      <w:r>
        <w:rPr>
          <w:b/>
          <w:bCs/>
          <w:color w:val="1F3A5F"/>
          <w:sz w:val="32"/>
          <w:szCs w:val="32"/>
        </w:rPr>
        <w:t xml:space="preserve">PX-22, small molecule, co-developed</w:t>
      </w:r>
    </w:p>
    <w:p>
      <w:pPr>
        <w:pBdr>
          <w:left w:val="single" w:color="D08A00" w:sz="18" w:space="6"/>
        </w:pBdr>
        <w:shd w:fill="FFF4E0" w:color="auto" w:val="clear"/>
        <w:spacing w:after="240"/>
      </w:pPr>
      <w:r>
        <w:rPr>
          <w:i/>
          <w:iCs/>
          <w:sz w:val="19"/>
          <w:szCs w:val="19"/>
        </w:rPr>
        <w:t xml:space="preserve">Fictional programme. All product names, codes, dates and data are invented for training and do not describe any real product, company or trial.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sponsor develops for oncology in the US and EU; a licensing partner develops for an inflammatory indication in Japan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DIBD and DLP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Sponsor DIBD 1 July 2022; separate DSURs by written agreement, with the rationale stated in each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Trials covered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Sponsor PX-201 and PX-301 (ongoing); partner PXJ-201 (ongoing)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RSI history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Sponsor IB Edition 4 does not list rash; the partner’s local IB does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Key safety events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partner shares quarterly line listings but no exposure data; a rash signal emerges in the partner’s trial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What it tests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Multiple DSURs for one substance; data gaps stated in Section 1; divergent RSI; cross-summaries in Section 14; conclusions across sponsors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Chapters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2, 4, 7, 12, 14</w:t>
            </w:r>
          </w:p>
        </w:tc>
      </w:tr>
    </w:tbl>
    <w:p>
      <w:pPr>
        <w:spacing w:before="240"/>
      </w:pPr>
      <w:r>
        <w:rPr>
          <w:color w:val="555555"/>
          <w:sz w:val="18"/>
          <w:szCs w:val="18"/>
        </w:rPr>
        <w:t xml:space="preserve">Part of the companion materials for the Selim Medical Press manual on writing Development Safety Update Reports. See the repository README for licence terms.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DSUR Workbench · Selim Medical Press · CC BY-NC 4.0 · Fictional case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2026-09-28T03:38:20.331Z</dcterms:created>
  <dcterms:modified xsi:type="dcterms:W3CDTF">2026-09-28T03:38:20.331Z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