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2E6DA4"/>
          <w:sz w:val="20"/>
        </w:rPr>
        <w:t>CASE A</w:t>
      </w:r>
    </w:p>
    <w:p>
      <w:pPr>
        <w:spacing w:before="0" w:after="120"/>
        <w:pBdr>
          <w:bottom w:val="single" w:sz="8" w:space="4" w:color="1F3A5F"/>
        </w:pBdr>
      </w:pPr>
      <w:r>
        <w:rPr>
          <w:rFonts w:ascii="Calibri" w:hAnsi="Calibri"/>
          <w:b/>
          <w:color w:val="1F3A5F"/>
          <w:sz w:val="36"/>
        </w:rPr>
        <w:t>ONK-417, oral kinase inhibitor, solid tumors</w:t>
      </w:r>
    </w:p>
    <w:p>
      <w:pPr>
        <w:spacing w:before="60" w:after="80"/>
        <w:pBdr>
          <w:left w:val="single" w:color="D08A00" w:sz="18" w:space="6"/>
        </w:pBdr>
        <w:shd w:val="clear" w:color="auto" w:fill="FFF4E0"/>
      </w:pPr>
      <w:r>
        <w:rPr>
          <w:rFonts w:ascii="Calibri" w:hAnsi="Calibri"/>
          <w:i/>
          <w:sz w:val="18"/>
        </w:rPr>
        <w:t>Fictional program. All products, codes, sponsors, dates and data are invented. This card reproduces Case A from Appendix D of Writing the DSUR (Case Files A–F) and lists where the book uses the case.</w:t>
      </w:r>
    </w:p>
    <w:p>
      <w:pPr>
        <w:keepNext/>
        <w:spacing w:before="120" w:after="60"/>
      </w:pPr>
      <w:r>
        <w:rPr>
          <w:rFonts w:ascii="Calibri" w:hAnsi="Calibri"/>
          <w:b/>
          <w:color w:val="1F3A5F"/>
          <w:sz w:val="23"/>
        </w:rPr>
        <w:t>Case file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30" w:type="dxa"/>
          <w:left w:w="90" w:type="dxa"/>
          <w:bottom w:w="30" w:type="dxa"/>
          <w:right w:w="90" w:type="dxa"/>
        </w:tblCellMar>
        <w:tblLayout w:type="fixed"/>
      </w:tblPr>
      <w:tblGrid>
        <w:gridCol w:w="1872"/>
        <w:gridCol w:w="7920"/>
      </w:tblGrid>
      <w:tr>
        <w:trPr>
          <w:cantSplit/>
        </w:trPr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Setting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sz w:val="18"/>
              </w:rPr>
              <w:t>First-in-human dose escalation, then two Phase 2 expansion cohorts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DIBD and DLP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sz w:val="18"/>
              </w:rPr>
              <w:t>DIBD 14 March 2024 (first clinical trial authorization); DLP 13 March each year; report due 12 May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Trials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sz w:val="18"/>
              </w:rPr>
              <w:t>ONK-101, Phase 1 dose escalation (completed); ONK-103, dedicated QT study (completed during the DSUR 2 period); ONK-201 and ONK-202, Phase 2 expansion cohorts (ongoing)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RSI history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sz w:val="18"/>
              </w:rPr>
              <w:t>IB Edition 1 at DSUR 1; Edition 2, adding a hepatotoxicity warning, adopted during the DSUR 3 period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Key events, DSUR 1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sz w:val="18"/>
              </w:rPr>
              <w:t>Four dose-limiting toxicities, three of them neutropenia at 400 mg; escalation stopped and 300 mg declared the maximum dose; weekly blood counts added in cycle 1; a regulator asked the sponsor not to exceed 300 mg in new trials until the expansion cohorts reported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Key events, DSUR 2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sz w:val="18"/>
              </w:rPr>
              <w:t>Two grade 3 ALT elevations, both with other possible causes and resolving on interruption; the 26-week rat study showed hepatocellular changes at 4 times the human exposure at 300 mg; a dedicated QT study was negative; two publications reported interstitial lung disease with other drugs of the class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Key events, DSUR 3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sz w:val="18"/>
              </w:rPr>
              <w:t>Three more hepatic cases with a consistent pattern (onset within eight weeks, resolution on interruption, recurrence on rechallenge in one subject): hepatotoxicity becomes an important identified risk and the IB adds a warning; no case of interstitial lung disease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Risk list over time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sz w:val="18"/>
              </w:rPr>
              <w:t>DSUR 1: neutropenia (identified), hepatotoxicity (potential), QT prolongation (potential). DSUR 2: QT prolongation resolved; interstitial lung disease added (potential, class). DSUR 3: neutropenia (identified), hepatotoxicity (identified), interstitial lung disease (potential), QT prolongation kept as resolved (Figure 11.1)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What it tests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sz w:val="18"/>
              </w:rPr>
              <w:t>The first DSUR with little data; actions taken; building and evolving the Summary of Important Risks</w:t>
            </w:r>
          </w:p>
        </w:tc>
      </w:tr>
    </w:tbl>
    <w:p>
      <w:pPr>
        <w:keepNext/>
        <w:spacing w:before="120" w:after="60"/>
      </w:pPr>
      <w:r>
        <w:rPr>
          <w:rFonts w:ascii="Calibri" w:hAnsi="Calibri"/>
          <w:b/>
          <w:color w:val="1F3A5F"/>
          <w:sz w:val="23"/>
        </w:rPr>
        <w:t>Where it appears in the book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30" w:type="dxa"/>
          <w:left w:w="90" w:type="dxa"/>
          <w:bottom w:w="30" w:type="dxa"/>
          <w:right w:w="90" w:type="dxa"/>
        </w:tblCellMar>
        <w:tblLayout w:type="fixed"/>
      </w:tblPr>
      <w:tblGrid>
        <w:gridCol w:w="2664"/>
        <w:gridCol w:w="1872"/>
        <w:gridCol w:w="5256"/>
      </w:tblGrid>
      <w:tr>
        <w:trPr>
          <w:tblHeader/>
        </w:trPr>
        <w:tc>
          <w:tcPr>
            <w:tcW w:type="dxa" w:w="2664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Chapter</w:t>
            </w:r>
          </w:p>
        </w:tc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Sections</w:t>
            </w:r>
          </w:p>
        </w:tc>
        <w:tc>
          <w:tcPr>
            <w:tcW w:type="dxa" w:w="5256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What the case shows there</w:t>
            </w:r>
          </w:p>
        </w:tc>
      </w:tr>
      <w:tr>
        <w:trPr>
          <w:cantSplit/>
        </w:trPr>
        <w:tc>
          <w:tcPr>
            <w:tcW w:type="dxa" w:w="2664"/>
          </w:tcPr>
          <w:p>
            <w:r/>
            <w:r>
              <w:rPr>
                <w:rFonts w:ascii="Calibri" w:hAnsi="Calibri"/>
                <w:b/>
                <w:sz w:val="18"/>
              </w:rPr>
              <w:t xml:space="preserve">1. </w:t>
            </w:r>
            <w:r>
              <w:rPr>
                <w:rFonts w:ascii="Calibri" w:hAnsi="Calibri"/>
                <w:sz w:val="18"/>
              </w:rPr>
              <w:t>What the DSUR is for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Opening; 1.7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sz w:val="18"/>
              </w:rPr>
              <w:t>The first DSUR due in eight weeks; first-in-human row of the stage table</w:t>
            </w:r>
          </w:p>
        </w:tc>
      </w:tr>
      <w:tr>
        <w:trPr>
          <w:cantSplit/>
        </w:trPr>
        <w:tc>
          <w:tcPr>
            <w:tcW w:type="dxa" w:w="2664"/>
          </w:tcPr>
          <w:p>
            <w:r/>
            <w:r>
              <w:rPr>
                <w:rFonts w:ascii="Calibri" w:hAnsi="Calibri"/>
                <w:b/>
                <w:sz w:val="18"/>
              </w:rPr>
              <w:t xml:space="preserve">2. </w:t>
            </w:r>
            <w:r>
              <w:rPr>
                <w:rFonts w:ascii="Calibri" w:hAnsi="Calibri"/>
                <w:sz w:val="18"/>
              </w:rPr>
              <w:t>Scope decisions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2.2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sz w:val="18"/>
              </w:rPr>
              <w:t>Setting the DIBD (14 March 2024), DLP and due date</w:t>
            </w:r>
          </w:p>
        </w:tc>
      </w:tr>
      <w:tr>
        <w:trPr>
          <w:cantSplit/>
        </w:trPr>
        <w:tc>
          <w:tcPr>
            <w:tcW w:type="dxa" w:w="2664"/>
          </w:tcPr>
          <w:p>
            <w:r/>
            <w:r>
              <w:rPr>
                <w:rFonts w:ascii="Calibri" w:hAnsi="Calibri"/>
                <w:b/>
                <w:sz w:val="18"/>
              </w:rPr>
              <w:t xml:space="preserve">6. </w:t>
            </w:r>
            <w:r>
              <w:rPr>
                <w:rFonts w:ascii="Calibri" w:hAnsi="Calibri"/>
                <w:sz w:val="18"/>
              </w:rPr>
              <w:t>SAE listings, tabulations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6.4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sz w:val="18"/>
              </w:rPr>
              <w:t>Dose-level columns in the cumulative tabulation</w:t>
            </w:r>
          </w:p>
        </w:tc>
      </w:tr>
      <w:tr>
        <w:trPr>
          <w:cantSplit/>
        </w:trPr>
        <w:tc>
          <w:tcPr>
            <w:tcW w:type="dxa" w:w="2664"/>
          </w:tcPr>
          <w:p>
            <w:r/>
            <w:r>
              <w:rPr>
                <w:rFonts w:ascii="Calibri" w:hAnsi="Calibri"/>
                <w:b/>
                <w:sz w:val="18"/>
              </w:rPr>
              <w:t xml:space="preserve">7. </w:t>
            </w:r>
            <w:r>
              <w:rPr>
                <w:rFonts w:ascii="Calibri" w:hAnsi="Calibri"/>
                <w:sz w:val="18"/>
              </w:rPr>
              <w:t>Beyond your own trials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7.3, 7.4, 7.7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sz w:val="18"/>
              </w:rPr>
              <w:t>Section 12 (26-week rat study) and Section 13 (class ILD) entries; nothing-to-report wording; a class finding becomes a watched risk</w:t>
            </w:r>
          </w:p>
        </w:tc>
      </w:tr>
      <w:tr>
        <w:trPr>
          <w:cantSplit/>
        </w:trPr>
        <w:tc>
          <w:tcPr>
            <w:tcW w:type="dxa" w:w="2664"/>
          </w:tcPr>
          <w:p>
            <w:r/>
            <w:r>
              <w:rPr>
                <w:rFonts w:ascii="Calibri" w:hAnsi="Calibri"/>
                <w:b/>
                <w:sz w:val="18"/>
              </w:rPr>
              <w:t xml:space="preserve">8. </w:t>
            </w:r>
            <w:r>
              <w:rPr>
                <w:rFonts w:ascii="Calibri" w:hAnsi="Calibri"/>
                <w:sz w:val="18"/>
              </w:rPr>
              <w:t>Actions, late-breaking info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Opening; 8.3, 8.4, 8.6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sz w:val="18"/>
              </w:rPr>
              <w:t>Dose cap and protocol amendment as Section 3 entries; cumulative table of regulatory requests; updates in DSUR 2</w:t>
            </w:r>
          </w:p>
        </w:tc>
      </w:tr>
      <w:tr>
        <w:trPr>
          <w:cantSplit/>
        </w:trPr>
        <w:tc>
          <w:tcPr>
            <w:tcW w:type="dxa" w:w="2664"/>
          </w:tcPr>
          <w:p>
            <w:r/>
            <w:r>
              <w:rPr>
                <w:rFonts w:ascii="Calibri" w:hAnsi="Calibri"/>
                <w:b/>
                <w:sz w:val="18"/>
              </w:rPr>
              <w:t xml:space="preserve">9. </w:t>
            </w:r>
            <w:r>
              <w:rPr>
                <w:rFonts w:ascii="Calibri" w:hAnsi="Calibri"/>
                <w:sz w:val="18"/>
              </w:rPr>
              <w:t>Clinical trial findings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9.8, 9.9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sz w:val="18"/>
              </w:rPr>
              <w:t>The dedicated QT study refutes a potential risk (Figure 9.3); a named-patient program as other therapeutic use</w:t>
            </w:r>
          </w:p>
        </w:tc>
      </w:tr>
      <w:tr>
        <w:trPr>
          <w:cantSplit/>
        </w:trPr>
        <w:tc>
          <w:tcPr>
            <w:tcW w:type="dxa" w:w="2664"/>
          </w:tcPr>
          <w:p>
            <w:r/>
            <w:r>
              <w:rPr>
                <w:rFonts w:ascii="Calibri" w:hAnsi="Calibri"/>
                <w:b/>
                <w:sz w:val="18"/>
              </w:rPr>
              <w:t xml:space="preserve">11. </w:t>
            </w:r>
            <w:r>
              <w:rPr>
                <w:rFonts w:ascii="Calibri" w:hAnsi="Calibri"/>
                <w:sz w:val="18"/>
              </w:rPr>
              <w:t>Important risks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Opening; 11.3, 11.4, 11.5, 11.8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sz w:val="18"/>
              </w:rPr>
              <w:t>The deleted QT entry; hepatotoxicity reclassified; three DSURs' risk lists (Figure 11.1); early-stage detail; recording risk decisions</w:t>
            </w:r>
          </w:p>
        </w:tc>
      </w:tr>
      <w:tr>
        <w:trPr>
          <w:cantSplit/>
        </w:trPr>
        <w:tc>
          <w:tcPr>
            <w:tcW w:type="dxa" w:w="2664"/>
          </w:tcPr>
          <w:p>
            <w:r/>
            <w:r>
              <w:rPr>
                <w:rFonts w:ascii="Calibri" w:hAnsi="Calibri"/>
                <w:b/>
                <w:sz w:val="18"/>
              </w:rPr>
              <w:t xml:space="preserve">12. </w:t>
            </w:r>
            <w:r>
              <w:rPr>
                <w:rFonts w:ascii="Calibri" w:hAnsi="Calibri"/>
                <w:sz w:val="18"/>
              </w:rPr>
              <w:t>Benefit–risk, Exec. Summary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12.7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sz w:val="18"/>
              </w:rPr>
              <w:t>A planned action that can be checked (pooled liver-test analysis)</w:t>
            </w:r>
          </w:p>
        </w:tc>
      </w:tr>
      <w:tr>
        <w:trPr>
          <w:cantSplit/>
        </w:trPr>
        <w:tc>
          <w:tcPr>
            <w:tcW w:type="dxa" w:w="2664"/>
          </w:tcPr>
          <w:p>
            <w:r/>
            <w:r>
              <w:rPr>
                <w:rFonts w:ascii="Calibri" w:hAnsi="Calibri"/>
                <w:b/>
                <w:sz w:val="18"/>
              </w:rPr>
              <w:t xml:space="preserve">13. </w:t>
            </w:r>
            <w:r>
              <w:rPr>
                <w:rFonts w:ascii="Calibri" w:hAnsi="Calibri"/>
                <w:sz w:val="18"/>
              </w:rPr>
              <w:t>Writing craft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13.2, 13.10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sz w:val="18"/>
              </w:rPr>
              <w:t>Hepatic cases as a number with its denominator; time-to-onset figure</w:t>
            </w:r>
          </w:p>
        </w:tc>
      </w:tr>
      <w:tr>
        <w:trPr>
          <w:cantSplit/>
        </w:trPr>
        <w:tc>
          <w:tcPr>
            <w:tcW w:type="dxa" w:w="2664"/>
          </w:tcPr>
          <w:p>
            <w:r/>
            <w:r>
              <w:rPr>
                <w:rFonts w:ascii="Calibri" w:hAnsi="Calibri"/>
                <w:b/>
                <w:sz w:val="18"/>
              </w:rPr>
              <w:t xml:space="preserve">16. </w:t>
            </w:r>
            <w:r>
              <w:rPr>
                <w:rFonts w:ascii="Calibri" w:hAnsi="Calibri"/>
                <w:sz w:val="18"/>
              </w:rPr>
              <w:t>Special situations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16.2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sz w:val="18"/>
              </w:rPr>
              <w:t>The first DSUR: where its weight sits</w:t>
            </w:r>
          </w:p>
        </w:tc>
      </w:tr>
    </w:tbl>
    <w:p>
      <w:pPr>
        <w:spacing w:before="60" w:after="0"/>
      </w:pPr>
      <w:r>
        <w:rPr>
          <w:rFonts w:ascii="Calibri" w:hAnsi="Calibri"/>
          <w:b/>
          <w:color w:val="1F3A5F"/>
          <w:sz w:val="18"/>
        </w:rPr>
        <w:t xml:space="preserve">Figures: </w:t>
      </w:r>
      <w:r>
        <w:rPr>
          <w:rFonts w:ascii="Calibri" w:hAnsi="Calibri"/>
          <w:sz w:val="18"/>
        </w:rPr>
        <w:t>9.3, 11.1.</w:t>
      </w:r>
    </w:p>
    <w:p>
      <w:pPr>
        <w:spacing w:before="60" w:after="0"/>
      </w:pPr>
      <w:r>
        <w:rPr>
          <w:rFonts w:ascii="Calibri" w:hAnsi="Calibri"/>
          <w:b/>
          <w:color w:val="1F3A5F"/>
          <w:sz w:val="18"/>
        </w:rPr>
        <w:t xml:space="preserve">Exercises: </w:t>
      </w:r>
      <w:r>
        <w:rPr>
          <w:rFonts w:ascii="Calibri" w:hAnsi="Calibri"/>
          <w:sz w:val="18"/>
        </w:rPr>
        <w:t>Chapter 11, Exercise 1 (hepatotoxicity entry at DSUR 3); Chapter 12, Exercises 1 (one of three statements), 2 (Section 20 of DSUR 3) and 3 (Executive Summary for DSUR 1); Chapter 13, Exercise 1 (one sentence); Chapter 16, Exercise 1 (outline of DSUR 1).</w:t>
      </w:r>
    </w:p>
    <w:p>
      <w:pPr>
        <w:spacing w:before="60" w:after="0"/>
      </w:pPr>
      <w:r>
        <w:rPr>
          <w:rFonts w:ascii="Calibri" w:hAnsi="Calibri"/>
          <w:b/>
          <w:color w:val="1F3A5F"/>
          <w:sz w:val="18"/>
        </w:rPr>
        <w:t xml:space="preserve">Also in: </w:t>
      </w:r>
      <w:r>
        <w:rPr>
          <w:rFonts w:ascii="Calibri" w:hAnsi="Calibri"/>
          <w:sz w:val="18"/>
        </w:rPr>
        <w:t>Appendix A (early-development notes for the Executive Summary and Sections 5 and 9); Appendix E (answers to the exercises above).</w:t>
      </w:r>
    </w:p>
    <w:p>
      <w:pPr>
        <w:spacing w:before="100" w:after="0"/>
      </w:pPr>
      <w:r>
        <w:rPr>
          <w:rFonts w:ascii="Calibri" w:hAnsi="Calibri"/>
          <w:i/>
          <w:color w:val="555555"/>
          <w:sz w:val="16"/>
        </w:rPr>
        <w:t>Opening = the scenario that opens the chapter. Section numbers are the book's chapter sections (for example, 4.4), not DSUR sections.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008" w:left="1224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792" w:val="right"/>
      </w:tabs>
    </w:pPr>
    <w:r>
      <w:rPr>
        <w:rFonts w:ascii="Calibri" w:hAnsi="Calibri"/>
        <w:color w:val="555555"/>
        <w:sz w:val="15"/>
      </w:rPr>
      <w:t>Companion material to Writing the DSUR (Selim Medical Press). Fictional data. Not regulatory advice. CC BY-NC 4.0.</w:t>
    </w:r>
    <w:r>
      <w:rPr>
        <w:rFonts w:ascii="Calibri" w:hAnsi="Calibri"/>
        <w:color w:val="555555"/>
        <w:sz w:val="15"/>
      </w:rPr>
      <w:tab/>
      <w:t xml:space="preserve">Page </w:t>
    </w:r>
    <w:r>
      <w:rPr>
        <w:rFonts w:ascii="Calibri" w:hAnsi="Calibri"/>
        <w:b w:val="0"/>
        <w:color w:val="555555"/>
        <w:sz w:val="15"/>
      </w:rPr>
      <w:fldChar w:fldCharType="begin"/>
    </w:r>
    <w:r>
      <w:rPr>
        <w:rFonts w:ascii="Calibri" w:hAnsi="Calibri"/>
        <w:b w:val="0"/>
        <w:color w:val="555555"/>
        <w:sz w:val="15"/>
      </w:rPr>
      <w:instrText xml:space="preserve"> PAGE </w:instrText>
    </w:r>
    <w:r>
      <w:rPr>
        <w:rFonts w:ascii="Calibri" w:hAnsi="Calibri"/>
        <w:b w:val="0"/>
        <w:color w:val="555555"/>
        <w:sz w:val="15"/>
      </w:rPr>
      <w:fldChar w:fldCharType="separate"/>
    </w:r>
    <w:r>
      <w:rPr>
        <w:rFonts w:ascii="Calibri" w:hAnsi="Calibri"/>
        <w:b w:val="0"/>
        <w:color w:val="555555"/>
        <w:sz w:val="15"/>
      </w:rPr>
      <w:t>1</w:t>
    </w:r>
    <w:r>
      <w:rPr>
        <w:rFonts w:ascii="Calibri" w:hAnsi="Calibri"/>
        <w:b w:val="0"/>
        <w:color w:val="555555"/>
        <w:sz w:val="15"/>
      </w:rPr>
      <w:fldChar w:fldCharType="end"/>
    </w:r>
    <w:r>
      <w:rPr>
        <w:rFonts w:ascii="Calibri" w:hAnsi="Calibri"/>
        <w:color w:val="555555"/>
        <w:sz w:val="15"/>
      </w:rPr>
      <w:t xml:space="preserve"> of </w:t>
    </w:r>
    <w:r>
      <w:rPr>
        <w:rFonts w:ascii="Calibri" w:hAnsi="Calibri"/>
        <w:b w:val="0"/>
        <w:color w:val="555555"/>
        <w:sz w:val="15"/>
      </w:rPr>
      <w:fldChar w:fldCharType="begin"/>
    </w:r>
    <w:r>
      <w:rPr>
        <w:rFonts w:ascii="Calibri" w:hAnsi="Calibri"/>
        <w:b w:val="0"/>
        <w:color w:val="555555"/>
        <w:sz w:val="15"/>
      </w:rPr>
      <w:instrText xml:space="preserve"> NUMPAGES </w:instrText>
    </w:r>
    <w:r>
      <w:rPr>
        <w:rFonts w:ascii="Calibri" w:hAnsi="Calibri"/>
        <w:b w:val="0"/>
        <w:color w:val="555555"/>
        <w:sz w:val="15"/>
      </w:rPr>
      <w:fldChar w:fldCharType="separate"/>
    </w:r>
    <w:r>
      <w:rPr>
        <w:rFonts w:ascii="Calibri" w:hAnsi="Calibri"/>
        <w:b w:val="0"/>
        <w:color w:val="555555"/>
        <w:sz w:val="15"/>
      </w:rPr>
      <w:t>1</w:t>
    </w:r>
    <w:r>
      <w:rPr>
        <w:rFonts w:ascii="Calibri" w:hAnsi="Calibri"/>
        <w:b w:val="0"/>
        <w:color w:val="555555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792" w:val="right"/>
      </w:tabs>
      <w:pBdr>
        <w:bottom w:val="single" w:sz="4" w:space="4" w:color="C9D3E0"/>
      </w:pBdr>
    </w:pPr>
    <w:r>
      <w:rPr>
        <w:rFonts w:ascii="Calibri" w:hAnsi="Calibri"/>
        <w:color w:val="555555"/>
        <w:sz w:val="17"/>
      </w:rPr>
      <w:t>Writing the DSUR · Case files</w:t>
    </w:r>
    <w:r>
      <w:rPr>
        <w:rFonts w:ascii="Calibri" w:hAnsi="Calibri"/>
        <w:b/>
        <w:color w:val="1F3A5F"/>
        <w:sz w:val="17"/>
      </w:rPr>
      <w:tab/>
      <w:t>Case A · ONK-417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A · ONK-417, oral kinase inhibitor, solid tumors</dc:title>
  <dc:subject>Writing the DSUR, Appendix D case card</dc:subject>
  <dc:creator>Selim Medical Press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