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6DA4"/>
          <w:sz w:val="20"/>
        </w:rPr>
        <w:t>CASE B</w:t>
      </w:r>
    </w:p>
    <w:p>
      <w:pPr>
        <w:spacing w:before="0" w:after="120"/>
        <w:pBdr>
          <w:bottom w:val="single" w:sz="8" w:space="4" w:color="1F3A5F"/>
        </w:pBdr>
      </w:pPr>
      <w:r>
        <w:rPr>
          <w:rFonts w:ascii="Calibri" w:hAnsi="Calibri"/>
          <w:b/>
          <w:color w:val="1F3A5F"/>
          <w:sz w:val="36"/>
        </w:rPr>
        <w:t>XB-7, monoclonal antibody, autoimmune disease</w:t>
      </w:r>
    </w:p>
    <w:p>
      <w:pPr>
        <w:spacing w:before="60" w:after="80"/>
        <w:pBdr>
          <w:left w:val="single" w:color="D08A00" w:sz="18" w:space="6"/>
        </w:pBdr>
        <w:shd w:val="clear" w:color="auto" w:fill="FFF4E0"/>
      </w:pPr>
      <w:r>
        <w:rPr>
          <w:rFonts w:ascii="Calibri" w:hAnsi="Calibri"/>
          <w:i/>
          <w:sz w:val="18"/>
        </w:rPr>
        <w:t>Fictional program. All products, codes, sponsors, dates and data are invented. This card reproduces Case B from Appendix D of Writing the DSUR (Case Files A–F) and lists where the book uses the case.</w:t>
      </w:r>
    </w:p>
    <w:p>
      <w:pPr>
        <w:keepNext/>
        <w:spacing w:before="120" w:after="60"/>
      </w:pPr>
      <w:r>
        <w:rPr>
          <w:rFonts w:ascii="Calibri" w:hAnsi="Calibri"/>
          <w:b/>
          <w:color w:val="1F3A5F"/>
          <w:sz w:val="23"/>
        </w:rPr>
        <w:t>Case file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CellMar>
          <w:top w:w="30" w:type="dxa"/>
          <w:left w:w="90" w:type="dxa"/>
          <w:bottom w:w="30" w:type="dxa"/>
          <w:right w:w="90" w:type="dxa"/>
        </w:tblCellMar>
        <w:tblLayout w:type="fixed"/>
      </w:tblPr>
      <w:tblGrid>
        <w:gridCol w:w="1872"/>
        <w:gridCol w:w="7920"/>
      </w:tblGrid>
      <w:tr>
        <w:trPr>
          <w:cantSplit/>
        </w:trPr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Setting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Completed Phase 2, blinded Phase 3 and an open-label extension, in adults with moderate-to-severe disease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DIBD and DLP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DIBD 2 September 2021; DLP 1 September each year. DSUR 5 covers 2 September 2025 to 1 September 2026 and is due 31 October 2026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Trials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XB-201, Phase 2, 270 adults randomized 2:1 (180 XB-7, 90 placebo) for 52 weeks of treatment followed by 12 weeks of safety follow-up; clinical study report final February 2026. XB-301, Phase 3, blinded, 300 randomized 2:1 at the DLP (estimated 200 XB-7, 100 placebo). XB-302, open-label extension, 142 subjects from the parent trials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Exposure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Cumulative: about 380 subjects on XB-7 and 190 on placebo (extension subjects counted in their parent trials). Interval: about 400 subject-years across all arms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RSI history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IB Edition 5 in effect on 2 September 2025 and the RSI for DSUR 5; Edition 6, approved March 2026, added sepsis as an expected serious adverse reaction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Key events, DSUR 5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14 serious infections in the period (9 in blinded XB-301, 5 in XB-302): pneumonia 7, cellulitis 5, sepsis 2; rate about 3.5 per 100 subject-years against about 2.7 expected; both sepsis cases unblinded for expedited reporting, both on XB-7; two events in subjects over 75 on corticosteroids; 31 serious infections cumulatively. XB-201: 6 of 180 on XB-7 (3.1 per 100 subject-years) and 2 of 90 on placebo (1.9). Consent forms updated for sepsis in March 2026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After the DLP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On 22 September 2026 the DMC recommended infection assessment at each visit for subjects aged 75 or older or on systemic corticosteroids; the sponsor accepted, and a protocol amendment is in preparation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What it tests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8"/>
              </w:rPr>
              <w:t>Exposure without unblinding; RSI discipline after a mid-period IB change; interpreting an imbalance in Section 18; late-breaking information; QC and inspection readiness; executive review</w:t>
            </w:r>
          </w:p>
        </w:tc>
      </w:tr>
    </w:tbl>
    <w:p>
      <w:pPr>
        <w:keepNext/>
        <w:spacing w:before="120" w:after="60"/>
      </w:pPr>
      <w:r>
        <w:rPr>
          <w:rFonts w:ascii="Calibri" w:hAnsi="Calibri"/>
          <w:b/>
          <w:color w:val="1F3A5F"/>
          <w:sz w:val="23"/>
        </w:rPr>
        <w:t>Where it appears in the book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CellMar>
          <w:top w:w="30" w:type="dxa"/>
          <w:left w:w="90" w:type="dxa"/>
          <w:bottom w:w="30" w:type="dxa"/>
          <w:right w:w="90" w:type="dxa"/>
        </w:tblCellMar>
        <w:tblLayout w:type="fixed"/>
      </w:tblPr>
      <w:tblGrid>
        <w:gridCol w:w="2664"/>
        <w:gridCol w:w="1872"/>
        <w:gridCol w:w="5256"/>
      </w:tblGrid>
      <w:tr>
        <w:trPr>
          <w:tblHeader/>
        </w:trPr>
        <w:tc>
          <w:tcPr>
            <w:tcW w:type="dxa" w:w="2664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Chapter</w:t>
            </w:r>
          </w:p>
        </w:tc>
        <w:tc>
          <w:tcPr>
            <w:tcW w:type="dxa" w:w="1872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Sections</w:t>
            </w:r>
          </w:p>
        </w:tc>
        <w:tc>
          <w:tcPr>
            <w:tcW w:type="dxa" w:w="5256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What the case shows there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1. </w:t>
            </w:r>
            <w:r>
              <w:rPr>
                <w:rFonts w:ascii="Calibri" w:hAnsi="Calibri"/>
                <w:sz w:val="18"/>
              </w:rPr>
              <w:t>What the DSUR is for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1.7, 1.8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Randomized, blinded development row of the stage table; carrying DSUR 4's commitment into DSUR 5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2. </w:t>
            </w:r>
            <w:r>
              <w:rPr>
                <w:rFonts w:ascii="Calibri" w:hAnsi="Calibri"/>
                <w:sz w:val="18"/>
              </w:rPr>
              <w:t>Scope decisions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2.6, 2.7, 2.8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A completed scope record (Figure 2.3); a scope change mid-year (a variation used only in that example); unblinded information and who reads which version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3. </w:t>
            </w:r>
            <w:r>
              <w:rPr>
                <w:rFonts w:ascii="Calibri" w:hAnsi="Calibri"/>
                <w:sz w:val="18"/>
              </w:rPr>
              <w:t>Running the DSUR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Opening; 3.2, 3.4, 3.8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Back-planning from the 1 September DLP; a data request written right; the kickoff meeting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4. </w:t>
            </w:r>
            <w:r>
              <w:rPr>
                <w:rFonts w:ascii="Calibri" w:hAnsi="Calibri"/>
                <w:sz w:val="18"/>
              </w:rPr>
              <w:t>Reference safety info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Opening; 4.4, 4.7, 4.9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Mid-period IB revision adding sepsis; a usable RSI section (Figure 4.3); Section 7.1 wording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5. </w:t>
            </w:r>
            <w:r>
              <w:rPr>
                <w:rFonts w:ascii="Calibri" w:hAnsi="Calibri"/>
                <w:sz w:val="18"/>
              </w:rPr>
              <w:t>Exposure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Opening; 5.3, 5.4, 5.10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Trial inventory; exposure estimated without unblinding; exposure in one sentence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6. </w:t>
            </w:r>
            <w:r>
              <w:rPr>
                <w:rFonts w:ascii="Calibri" w:hAnsi="Calibri"/>
                <w:sz w:val="18"/>
              </w:rPr>
              <w:t>SAE listings, tabulations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6.3, 6.9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One line-listing row (Figure 6.2); pooling or splitting XB-301 and XB-302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8. </w:t>
            </w:r>
            <w:r>
              <w:rPr>
                <w:rFonts w:ascii="Calibri" w:hAnsi="Calibri"/>
                <w:sz w:val="18"/>
              </w:rPr>
              <w:t>Actions, late-breaking info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8.3, 8.5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Consent revision as a Section 3 entry; the DMC recommendation after the DLP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9. </w:t>
            </w:r>
            <w:r>
              <w:rPr>
                <w:rFonts w:ascii="Calibri" w:hAnsi="Calibri"/>
                <w:sz w:val="18"/>
              </w:rPr>
              <w:t>Clinical trial findings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Opening; 9.3, 9.4, 9.10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XB-201 completed; XB-301 ongoing and blinded; how much efficacy belongs in Section 8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10. </w:t>
            </w:r>
            <w:r>
              <w:rPr>
                <w:rFonts w:ascii="Calibri" w:hAnsi="Calibri"/>
                <w:sz w:val="18"/>
              </w:rPr>
              <w:t>Overall assessment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Opening; 10.4, 10.8, 10.9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Serious infections against an expected rate (Figures 10.2, 10.3); calibrated language; other points considered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11. </w:t>
            </w:r>
            <w:r>
              <w:rPr>
                <w:rFonts w:ascii="Calibri" w:hAnsi="Calibri"/>
                <w:sz w:val="18"/>
              </w:rPr>
              <w:t>Important risks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11.5, 11.6, 11.8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Late-stage detail; the tabular Section 19 entry; recording risk decisions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12. </w:t>
            </w:r>
            <w:r>
              <w:rPr>
                <w:rFonts w:ascii="Calibri" w:hAnsi="Calibri"/>
                <w:sz w:val="18"/>
              </w:rPr>
              <w:t>Benefit–risk, Exec. Summary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12.2, 12.6, 12.7, 12.8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Benefit–risk statement (Figure 12.1); the Executive Summary; checkable planned actions; the summary for ethics committees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13. </w:t>
            </w:r>
            <w:r>
              <w:rPr>
                <w:rFonts w:ascii="Calibri" w:hAnsi="Calibri"/>
                <w:sz w:val="18"/>
              </w:rPr>
              <w:t>Writing craft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Opening; 13.2–13.4, 13.7, 13.9–13.11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212 review comments; numbers, words and tables that argue (Figure 13.1); before and after; second-language readers; figures; style sheet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15. </w:t>
            </w:r>
            <w:r>
              <w:rPr>
                <w:rFonts w:ascii="Calibri" w:hAnsi="Calibri"/>
                <w:sz w:val="18"/>
              </w:rPr>
              <w:t>QC and inspection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Opening; 15.4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An inspection finding on the RSI; QC traceability with the key-figures tracker</w:t>
            </w:r>
          </w:p>
        </w:tc>
      </w:tr>
      <w:tr>
        <w:trPr>
          <w:cantSplit/>
        </w:trPr>
        <w:tc>
          <w:tcPr>
            <w:tcW w:type="dxa" w:w="2664"/>
          </w:tcPr>
          <w:p>
            <w:r/>
            <w:r>
              <w:rPr>
                <w:rFonts w:ascii="Calibri" w:hAnsi="Calibri"/>
                <w:b/>
                <w:sz w:val="18"/>
              </w:rPr>
              <w:t xml:space="preserve">17. </w:t>
            </w:r>
            <w:r>
              <w:rPr>
                <w:rFonts w:ascii="Calibri" w:hAnsi="Calibri"/>
                <w:sz w:val="18"/>
              </w:rPr>
              <w:t>Executive review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Opening; 17.8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sz w:val="18"/>
              </w:rPr>
              <w:t>Executive review of draft 3; the post-DLP DMC recommendation in review</w:t>
            </w:r>
          </w:p>
        </w:tc>
      </w:tr>
    </w:tbl>
    <w:p>
      <w:pPr>
        <w:spacing w:before="60" w:after="0"/>
      </w:pPr>
      <w:r>
        <w:rPr>
          <w:rFonts w:ascii="Calibri" w:hAnsi="Calibri"/>
          <w:b/>
          <w:color w:val="1F3A5F"/>
          <w:sz w:val="18"/>
        </w:rPr>
        <w:t xml:space="preserve">Figures: </w:t>
      </w:r>
      <w:r>
        <w:rPr>
          <w:rFonts w:ascii="Calibri" w:hAnsi="Calibri"/>
          <w:sz w:val="18"/>
        </w:rPr>
        <w:t>2.3, 4.3, 6.2, 10.2, 10.3, 12.1, 13.1.</w:t>
      </w:r>
    </w:p>
    <w:p>
      <w:pPr>
        <w:spacing w:before="60" w:after="0"/>
      </w:pPr>
      <w:r>
        <w:rPr>
          <w:rFonts w:ascii="Calibri" w:hAnsi="Calibri"/>
          <w:b/>
          <w:color w:val="1F3A5F"/>
          <w:sz w:val="18"/>
        </w:rPr>
        <w:t xml:space="preserve">Exercises: </w:t>
      </w:r>
      <w:r>
        <w:rPr>
          <w:rFonts w:ascii="Calibri" w:hAnsi="Calibri"/>
          <w:sz w:val="18"/>
        </w:rPr>
        <w:t>Chapter 6, Exercise 1 (mock line listing); Chapter 9, Exercise 3; Chapter 10, Exercise 3(b); Chapter 11, Exercise 3 (update Section 19); Chapter 12, Exercise 1 (one of three statements); Chapter 13, Exercises 1 and 2; Chapter 15, Exercise 2 (regulator question); Chapter 17, Exercise 3 (answer framed on XB-7).</w:t>
      </w:r>
    </w:p>
    <w:p>
      <w:pPr>
        <w:spacing w:before="60" w:after="0"/>
      </w:pPr>
      <w:r>
        <w:rPr>
          <w:rFonts w:ascii="Calibri" w:hAnsi="Calibri"/>
          <w:b/>
          <w:color w:val="1F3A5F"/>
          <w:sz w:val="18"/>
        </w:rPr>
        <w:t xml:space="preserve">Also in: </w:t>
      </w:r>
      <w:r>
        <w:rPr>
          <w:rFonts w:ascii="Calibri" w:hAnsi="Calibri"/>
          <w:sz w:val="18"/>
        </w:rPr>
        <w:t>Appendix A (late-development note for Section 4); Appendix C (timeline with Case B dates); Appendix E (answers to the exercises above). The full mock DSUR 5 is in this repository's worked-example folder.</w:t>
      </w:r>
    </w:p>
    <w:p>
      <w:pPr>
        <w:spacing w:before="100" w:after="0"/>
      </w:pPr>
      <w:r>
        <w:rPr>
          <w:rFonts w:ascii="Calibri" w:hAnsi="Calibri"/>
          <w:i/>
          <w:color w:val="555555"/>
          <w:sz w:val="16"/>
        </w:rPr>
        <w:t>Opening = the scenario that opens the chapter. Section numbers are the book's chapter sections (for example, 4.4), not DSUR sections.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rFonts w:ascii="Calibri" w:hAnsi="Calibri"/>
        <w:color w:val="555555"/>
        <w:sz w:val="15"/>
      </w:rPr>
      <w:t>Companion material to Writing the DSUR (Selim Medical Press). Fictional data. Not regulatory advice. CC BY-NC 4.0.</w:t>
    </w:r>
    <w:r>
      <w:rPr>
        <w:rFonts w:ascii="Calibri" w:hAnsi="Calibri"/>
        <w:color w:val="555555"/>
        <w:sz w:val="15"/>
      </w:rPr>
      <w:tab/>
      <w:t xml:space="preserve">Page </w:t>
    </w:r>
    <w:r>
      <w:rPr>
        <w:rFonts w:ascii="Calibri" w:hAnsi="Calibri"/>
        <w:b w:val="0"/>
        <w:color w:val="555555"/>
        <w:sz w:val="15"/>
      </w:rPr>
      <w:fldChar w:fldCharType="begin"/>
    </w:r>
    <w:r>
      <w:rPr>
        <w:rFonts w:ascii="Calibri" w:hAnsi="Calibri"/>
        <w:b w:val="0"/>
        <w:color w:val="555555"/>
        <w:sz w:val="15"/>
      </w:rPr>
      <w:instrText xml:space="preserve"> PAGE </w:instrText>
    </w:r>
    <w:r>
      <w:rPr>
        <w:rFonts w:ascii="Calibri" w:hAnsi="Calibri"/>
        <w:b w:val="0"/>
        <w:color w:val="555555"/>
        <w:sz w:val="15"/>
      </w:rPr>
      <w:fldChar w:fldCharType="separate"/>
    </w:r>
    <w:r>
      <w:rPr>
        <w:rFonts w:ascii="Calibri" w:hAnsi="Calibri"/>
        <w:b w:val="0"/>
        <w:color w:val="555555"/>
        <w:sz w:val="15"/>
      </w:rPr>
      <w:t>1</w:t>
    </w:r>
    <w:r>
      <w:rPr>
        <w:rFonts w:ascii="Calibri" w:hAnsi="Calibri"/>
        <w:b w:val="0"/>
        <w:color w:val="555555"/>
        <w:sz w:val="15"/>
      </w:rPr>
      <w:fldChar w:fldCharType="end"/>
    </w:r>
    <w:r>
      <w:rPr>
        <w:rFonts w:ascii="Calibri" w:hAnsi="Calibri"/>
        <w:color w:val="555555"/>
        <w:sz w:val="15"/>
      </w:rPr>
      <w:t xml:space="preserve"> of </w:t>
    </w:r>
    <w:r>
      <w:rPr>
        <w:rFonts w:ascii="Calibri" w:hAnsi="Calibri"/>
        <w:b w:val="0"/>
        <w:color w:val="555555"/>
        <w:sz w:val="15"/>
      </w:rPr>
      <w:fldChar w:fldCharType="begin"/>
    </w:r>
    <w:r>
      <w:rPr>
        <w:rFonts w:ascii="Calibri" w:hAnsi="Calibri"/>
        <w:b w:val="0"/>
        <w:color w:val="555555"/>
        <w:sz w:val="15"/>
      </w:rPr>
      <w:instrText xml:space="preserve"> NUMPAGES </w:instrText>
    </w:r>
    <w:r>
      <w:rPr>
        <w:rFonts w:ascii="Calibri" w:hAnsi="Calibri"/>
        <w:b w:val="0"/>
        <w:color w:val="555555"/>
        <w:sz w:val="15"/>
      </w:rPr>
      <w:fldChar w:fldCharType="separate"/>
    </w:r>
    <w:r>
      <w:rPr>
        <w:rFonts w:ascii="Calibri" w:hAnsi="Calibri"/>
        <w:b w:val="0"/>
        <w:color w:val="555555"/>
        <w:sz w:val="15"/>
      </w:rPr>
      <w:t>1</w:t>
    </w:r>
    <w:r>
      <w:rPr>
        <w:rFonts w:ascii="Calibri" w:hAnsi="Calibri"/>
        <w:b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4" w:space="4" w:color="C9D3E0"/>
      </w:pBdr>
    </w:pPr>
    <w:r>
      <w:rPr>
        <w:rFonts w:ascii="Calibri" w:hAnsi="Calibri"/>
        <w:color w:val="555555"/>
        <w:sz w:val="17"/>
      </w:rPr>
      <w:t>Writing the DSUR · Case files</w:t>
    </w:r>
    <w:r>
      <w:rPr>
        <w:rFonts w:ascii="Calibri" w:hAnsi="Calibri"/>
        <w:b/>
        <w:color w:val="1F3A5F"/>
        <w:sz w:val="17"/>
      </w:rPr>
      <w:tab/>
      <w:t>Case B · XB-7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B · XB-7, monoclonal antibody, autoimmune disease</dc:title>
  <dc:subject>Writing the DSUR, Appendix D case card</dc:subject>
  <dc:creator>Selim Medical Press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