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2E6DA4"/>
          <w:sz w:val="20"/>
        </w:rPr>
        <w:t>CASE C</w:t>
      </w:r>
    </w:p>
    <w:p>
      <w:pPr>
        <w:spacing w:before="0" w:after="120"/>
        <w:pBdr>
          <w:bottom w:val="single" w:sz="8" w:space="4" w:color="1F3A5F"/>
        </w:pBdr>
      </w:pPr>
      <w:r>
        <w:rPr>
          <w:rFonts w:ascii="Calibri" w:hAnsi="Calibri"/>
          <w:b/>
          <w:color w:val="1F3A5F"/>
          <w:sz w:val="36"/>
        </w:rPr>
        <w:t>CX-3, marketed oral anticoagulant, new indication</w:t>
      </w:r>
    </w:p>
    <w:p>
      <w:pPr>
        <w:spacing w:before="60" w:after="80"/>
        <w:pBdr>
          <w:left w:val="single" w:color="D08A00" w:sz="18" w:space="6"/>
        </w:pBdr>
        <w:shd w:val="clear" w:color="auto" w:fill="FFF4E0"/>
      </w:pPr>
      <w:r>
        <w:rPr>
          <w:rFonts w:ascii="Calibri" w:hAnsi="Calibri"/>
          <w:i/>
          <w:sz w:val="18"/>
        </w:rPr>
        <w:t>Fictional program. All products, codes, sponsors, dates and data are invented. This card reproduces Case C from Appendix D of Writing the DSUR (Case Files A–F) and lists where the book uses the case.</w:t>
      </w:r>
    </w:p>
    <w:p>
      <w:pPr>
        <w:keepNext/>
        <w:spacing w:before="120" w:after="60"/>
      </w:pPr>
      <w:r>
        <w:rPr>
          <w:rFonts w:ascii="Calibri" w:hAnsi="Calibri"/>
          <w:b/>
          <w:color w:val="1F3A5F"/>
          <w:sz w:val="23"/>
        </w:rPr>
        <w:t>Case file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30" w:type="dxa"/>
          <w:left w:w="90" w:type="dxa"/>
          <w:bottom w:w="30" w:type="dxa"/>
          <w:right w:w="90" w:type="dxa"/>
        </w:tblCellMar>
        <w:tblLayout w:type="fixed"/>
      </w:tblPr>
      <w:tblGrid>
        <w:gridCol w:w="1872"/>
        <w:gridCol w:w="7920"/>
      </w:tblGrid>
      <w:tr>
        <w:trPr>
          <w:cantSplit/>
        </w:trPr>
        <w:tc>
          <w:tcPr>
            <w:tcW w:type="dxa" w:w="1872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Setting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sz w:val="18"/>
              </w:rPr>
              <w:t>Approved for atrial fibrillation; Phase 3 in a new thrombosis indication</w:t>
            </w:r>
          </w:p>
        </w:tc>
      </w:tr>
      <w:tr>
        <w:trPr>
          <w:cantSplit/>
        </w:trPr>
        <w:tc>
          <w:tcPr>
            <w:tcW w:type="dxa" w:w="1872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DIBD, IBD and DLP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sz w:val="18"/>
              </w:rPr>
              <w:t>DIBD 10 June 2015; DLP 9 June each year. First approval (IBD) 21 November 2020. In 2026 the sponsor decides to synchronize the DSUR with the PBRER through a bridge period from 10 June to 20 November 2026</w:t>
            </w:r>
          </w:p>
        </w:tc>
      </w:tr>
      <w:tr>
        <w:trPr>
          <w:cantSplit/>
        </w:trPr>
        <w:tc>
          <w:tcPr>
            <w:tcW w:type="dxa" w:w="1872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Trials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sz w:val="18"/>
              </w:rPr>
              <w:t>CX-310, Phase 3, blinded, randomized 1:1 against standard anticoagulation (ongoing); CX-411, Phase 4 (ongoing); investigator-initiated studies</w:t>
            </w:r>
          </w:p>
        </w:tc>
      </w:tr>
      <w:tr>
        <w:trPr>
          <w:cantSplit/>
        </w:trPr>
        <w:tc>
          <w:tcPr>
            <w:tcW w:type="dxa" w:w="1872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RSI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sz w:val="18"/>
              </w:rPr>
              <w:t>The development IB, with the approved label for marketed use; the choice must be justified in Section 7.1</w:t>
            </w:r>
          </w:p>
        </w:tc>
      </w:tr>
      <w:tr>
        <w:trPr>
          <w:cantSplit/>
        </w:trPr>
        <w:tc>
          <w:tcPr>
            <w:tcW w:type="dxa" w:w="1872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Key events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sz w:val="18"/>
              </w:rPr>
              <w:t>37 post-marketing reports of medication errors at the switch from loading to maintenance dose, 6 with bleeding; label updated May 2026. Pregnancy registry interim analysis (42 exposed pregnancies) with no pattern of major malformations. In CX-310, 18 major bleeding events among about 410 patient-years (4.4 per 100 patient-years, pooled), 11 in the first 21 days; the DMC recommended continuation in March 2026. A regulator asked after submission how bleeding compares with the atrial fibrillation indication (3.2 per 100 patient-years in the pivotal trial)</w:t>
            </w:r>
          </w:p>
        </w:tc>
      </w:tr>
      <w:tr>
        <w:trPr>
          <w:cantSplit/>
        </w:trPr>
        <w:tc>
          <w:tcPr>
            <w:tcW w:type="dxa" w:w="1872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What it tests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sz w:val="18"/>
              </w:rPr>
              <w:t>DSUR and PBRER side by side, and synchronization; Section 11 marketing experience; regional overlays; answering a regulator question</w:t>
            </w:r>
          </w:p>
        </w:tc>
      </w:tr>
    </w:tbl>
    <w:p>
      <w:pPr>
        <w:keepNext/>
        <w:spacing w:before="120" w:after="60"/>
      </w:pPr>
      <w:r>
        <w:rPr>
          <w:rFonts w:ascii="Calibri" w:hAnsi="Calibri"/>
          <w:b/>
          <w:color w:val="1F3A5F"/>
          <w:sz w:val="23"/>
        </w:rPr>
        <w:t>Where it appears in the book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30" w:type="dxa"/>
          <w:left w:w="90" w:type="dxa"/>
          <w:bottom w:w="30" w:type="dxa"/>
          <w:right w:w="90" w:type="dxa"/>
        </w:tblCellMar>
        <w:tblLayout w:type="fixed"/>
      </w:tblPr>
      <w:tblGrid>
        <w:gridCol w:w="2664"/>
        <w:gridCol w:w="1872"/>
        <w:gridCol w:w="5256"/>
      </w:tblGrid>
      <w:tr>
        <w:trPr>
          <w:tblHeader/>
        </w:trPr>
        <w:tc>
          <w:tcPr>
            <w:tcW w:type="dxa" w:w="2664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Chapter</w:t>
            </w:r>
          </w:p>
        </w:tc>
        <w:tc>
          <w:tcPr>
            <w:tcW w:type="dxa" w:w="1872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Sections</w:t>
            </w:r>
          </w:p>
        </w:tc>
        <w:tc>
          <w:tcPr>
            <w:tcW w:type="dxa" w:w="5256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What the case shows there</w:t>
            </w:r>
          </w:p>
        </w:tc>
      </w:tr>
      <w:tr>
        <w:trPr>
          <w:cantSplit/>
        </w:trPr>
        <w:tc>
          <w:tcPr>
            <w:tcW w:type="dxa" w:w="2664"/>
          </w:tcPr>
          <w:p>
            <w:r/>
            <w:r>
              <w:rPr>
                <w:rFonts w:ascii="Calibri" w:hAnsi="Calibri"/>
                <w:b/>
                <w:sz w:val="18"/>
              </w:rPr>
              <w:t xml:space="preserve">1. </w:t>
            </w:r>
            <w:r>
              <w:rPr>
                <w:rFonts w:ascii="Calibri" w:hAnsi="Calibri"/>
                <w:sz w:val="18"/>
              </w:rPr>
              <w:t>What the DSUR is for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1.7</w:t>
            </w:r>
          </w:p>
        </w:tc>
        <w:tc>
          <w:tcPr>
            <w:tcW w:type="dxa" w:w="5256"/>
          </w:tcPr>
          <w:p>
            <w:r/>
            <w:r>
              <w:rPr>
                <w:rFonts w:ascii="Calibri" w:hAnsi="Calibri"/>
                <w:sz w:val="18"/>
              </w:rPr>
              <w:t>Approved and still in development row of the stage table</w:t>
            </w:r>
          </w:p>
        </w:tc>
      </w:tr>
      <w:tr>
        <w:trPr>
          <w:cantSplit/>
        </w:trPr>
        <w:tc>
          <w:tcPr>
            <w:tcW w:type="dxa" w:w="2664"/>
          </w:tcPr>
          <w:p>
            <w:r/>
            <w:r>
              <w:rPr>
                <w:rFonts w:ascii="Calibri" w:hAnsi="Calibri"/>
                <w:b/>
                <w:sz w:val="18"/>
              </w:rPr>
              <w:t xml:space="preserve">2. </w:t>
            </w:r>
            <w:r>
              <w:rPr>
                <w:rFonts w:ascii="Calibri" w:hAnsi="Calibri"/>
                <w:sz w:val="18"/>
              </w:rPr>
              <w:t>Scope decisions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2.2</w:t>
            </w:r>
          </w:p>
        </w:tc>
        <w:tc>
          <w:tcPr>
            <w:tcW w:type="dxa" w:w="5256"/>
          </w:tcPr>
          <w:p>
            <w:r/>
            <w:r>
              <w:rPr>
                <w:rFonts w:ascii="Calibri" w:hAnsi="Calibri"/>
                <w:sz w:val="18"/>
              </w:rPr>
              <w:t>DIBD, IBD and the option to synchronize through a bridge period</w:t>
            </w:r>
          </w:p>
        </w:tc>
      </w:tr>
      <w:tr>
        <w:trPr>
          <w:cantSplit/>
        </w:trPr>
        <w:tc>
          <w:tcPr>
            <w:tcW w:type="dxa" w:w="2664"/>
          </w:tcPr>
          <w:p>
            <w:r/>
            <w:r>
              <w:rPr>
                <w:rFonts w:ascii="Calibri" w:hAnsi="Calibri"/>
                <w:b/>
                <w:sz w:val="18"/>
              </w:rPr>
              <w:t xml:space="preserve">4. </w:t>
            </w:r>
            <w:r>
              <w:rPr>
                <w:rFonts w:ascii="Calibri" w:hAnsi="Calibri"/>
                <w:sz w:val="18"/>
              </w:rPr>
              <w:t>Reference safety info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4.6</w:t>
            </w:r>
          </w:p>
        </w:tc>
        <w:tc>
          <w:tcPr>
            <w:tcW w:type="dxa" w:w="5256"/>
          </w:tcPr>
          <w:p>
            <w:r/>
            <w:r>
              <w:rPr>
                <w:rFonts w:ascii="Calibri" w:hAnsi="Calibri"/>
                <w:sz w:val="18"/>
              </w:rPr>
              <w:t>Two reference documents: the development IB and the approved label</w:t>
            </w:r>
          </w:p>
        </w:tc>
      </w:tr>
      <w:tr>
        <w:trPr>
          <w:cantSplit/>
        </w:trPr>
        <w:tc>
          <w:tcPr>
            <w:tcW w:type="dxa" w:w="2664"/>
          </w:tcPr>
          <w:p>
            <w:r/>
            <w:r>
              <w:rPr>
                <w:rFonts w:ascii="Calibri" w:hAnsi="Calibri"/>
                <w:b/>
                <w:sz w:val="18"/>
              </w:rPr>
              <w:t xml:space="preserve">5. </w:t>
            </w:r>
            <w:r>
              <w:rPr>
                <w:rFonts w:ascii="Calibri" w:hAnsi="Calibri"/>
                <w:sz w:val="18"/>
              </w:rPr>
              <w:t>Exposure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5.6, 5.9</w:t>
            </w:r>
          </w:p>
        </w:tc>
        <w:tc>
          <w:tcPr>
            <w:tcW w:type="dxa" w:w="5256"/>
          </w:tcPr>
          <w:p>
            <w:r/>
            <w:r>
              <w:rPr>
                <w:rFonts w:ascii="Calibri" w:hAnsi="Calibri"/>
                <w:sz w:val="18"/>
              </w:rPr>
              <w:t>Long-marketed drug: trial exposure from older reports, marketed exposure from the PBRER</w:t>
            </w:r>
          </w:p>
        </w:tc>
      </w:tr>
      <w:tr>
        <w:trPr>
          <w:cantSplit/>
        </w:trPr>
        <w:tc>
          <w:tcPr>
            <w:tcW w:type="dxa" w:w="2664"/>
          </w:tcPr>
          <w:p>
            <w:r/>
            <w:r>
              <w:rPr>
                <w:rFonts w:ascii="Calibri" w:hAnsi="Calibri"/>
                <w:b/>
                <w:sz w:val="18"/>
              </w:rPr>
              <w:t xml:space="preserve">7. </w:t>
            </w:r>
            <w:r>
              <w:rPr>
                <w:rFonts w:ascii="Calibri" w:hAnsi="Calibri"/>
                <w:sz w:val="18"/>
              </w:rPr>
              <w:t>Beyond your own trials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Opening; 7.3</w:t>
            </w:r>
          </w:p>
        </w:tc>
        <w:tc>
          <w:tcPr>
            <w:tcW w:type="dxa" w:w="5256"/>
          </w:tcPr>
          <w:p>
            <w:r/>
            <w:r>
              <w:rPr>
                <w:rFonts w:ascii="Calibri" w:hAnsi="Calibri"/>
                <w:sz w:val="18"/>
              </w:rPr>
              <w:t>Medication errors known to the PBRER team; Section 9 (pregnancy registry), Section 11 (marketing experience) and Section 15 (lack of efficacy)</w:t>
            </w:r>
          </w:p>
        </w:tc>
      </w:tr>
      <w:tr>
        <w:trPr>
          <w:cantSplit/>
        </w:trPr>
        <w:tc>
          <w:tcPr>
            <w:tcW w:type="dxa" w:w="2664"/>
          </w:tcPr>
          <w:p>
            <w:r/>
            <w:r>
              <w:rPr>
                <w:rFonts w:ascii="Calibri" w:hAnsi="Calibri"/>
                <w:b/>
                <w:sz w:val="18"/>
              </w:rPr>
              <w:t xml:space="preserve">8. </w:t>
            </w:r>
            <w:r>
              <w:rPr>
                <w:rFonts w:ascii="Calibri" w:hAnsi="Calibri"/>
                <w:sz w:val="18"/>
              </w:rPr>
              <w:t>Actions, late-breaking info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8.7, 8.8</w:t>
            </w:r>
          </w:p>
        </w:tc>
        <w:tc>
          <w:tcPr>
            <w:tcW w:type="dxa" w:w="5256"/>
          </w:tcPr>
          <w:p>
            <w:r/>
            <w:r>
              <w:rPr>
                <w:rFonts w:ascii="Calibri" w:hAnsi="Calibri"/>
                <w:sz w:val="18"/>
              </w:rPr>
              <w:t>Case C's Section 3: market and trial actions; the CX-310 investigator letter</w:t>
            </w:r>
          </w:p>
        </w:tc>
      </w:tr>
      <w:tr>
        <w:trPr>
          <w:cantSplit/>
        </w:trPr>
        <w:tc>
          <w:tcPr>
            <w:tcW w:type="dxa" w:w="2664"/>
          </w:tcPr>
          <w:p>
            <w:r/>
            <w:r>
              <w:rPr>
                <w:rFonts w:ascii="Calibri" w:hAnsi="Calibri"/>
                <w:b/>
                <w:sz w:val="18"/>
              </w:rPr>
              <w:t xml:space="preserve">11. </w:t>
            </w:r>
            <w:r>
              <w:rPr>
                <w:rFonts w:ascii="Calibri" w:hAnsi="Calibri"/>
                <w:sz w:val="18"/>
              </w:rPr>
              <w:t>Important risks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11.7, 11.9</w:t>
            </w:r>
          </w:p>
        </w:tc>
        <w:tc>
          <w:tcPr>
            <w:tcW w:type="dxa" w:w="5256"/>
          </w:tcPr>
          <w:p>
            <w:r/>
            <w:r>
              <w:rPr>
                <w:rFonts w:ascii="Calibri" w:hAnsi="Calibri"/>
                <w:sz w:val="18"/>
              </w:rPr>
              <w:t>Section 19 aligned with the risk management plan after approval</w:t>
            </w:r>
          </w:p>
        </w:tc>
      </w:tr>
      <w:tr>
        <w:trPr>
          <w:cantSplit/>
        </w:trPr>
        <w:tc>
          <w:tcPr>
            <w:tcW w:type="dxa" w:w="2664"/>
          </w:tcPr>
          <w:p>
            <w:r/>
            <w:r>
              <w:rPr>
                <w:rFonts w:ascii="Calibri" w:hAnsi="Calibri"/>
                <w:b/>
                <w:sz w:val="18"/>
              </w:rPr>
              <w:t xml:space="preserve">14. </w:t>
            </w:r>
            <w:r>
              <w:rPr>
                <w:rFonts w:ascii="Calibri" w:hAnsi="Calibri"/>
                <w:sz w:val="18"/>
              </w:rPr>
              <w:t>Regional overlays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Opening; 14.7</w:t>
            </w:r>
          </w:p>
        </w:tc>
        <w:tc>
          <w:tcPr>
            <w:tcW w:type="dxa" w:w="5256"/>
          </w:tcPr>
          <w:p>
            <w:r/>
            <w:r>
              <w:rPr>
                <w:rFonts w:ascii="Calibri" w:hAnsi="Calibri"/>
                <w:sz w:val="18"/>
              </w:rPr>
              <w:t>Regional calendar across six regions; the translation sets the deadline (Figure 14.2)</w:t>
            </w:r>
          </w:p>
        </w:tc>
      </w:tr>
      <w:tr>
        <w:trPr>
          <w:cantSplit/>
        </w:trPr>
        <w:tc>
          <w:tcPr>
            <w:tcW w:type="dxa" w:w="2664"/>
          </w:tcPr>
          <w:p>
            <w:r/>
            <w:r>
              <w:rPr>
                <w:rFonts w:ascii="Calibri" w:hAnsi="Calibri"/>
                <w:b/>
                <w:sz w:val="18"/>
              </w:rPr>
              <w:t xml:space="preserve">15. </w:t>
            </w:r>
            <w:r>
              <w:rPr>
                <w:rFonts w:ascii="Calibri" w:hAnsi="Calibri"/>
                <w:sz w:val="18"/>
              </w:rPr>
              <w:t>QC and inspection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15.9</w:t>
            </w:r>
          </w:p>
        </w:tc>
        <w:tc>
          <w:tcPr>
            <w:tcW w:type="dxa" w:w="5256"/>
          </w:tcPr>
          <w:p>
            <w:r/>
            <w:r>
              <w:rPr>
                <w:rFonts w:ascii="Calibri" w:hAnsi="Calibri"/>
                <w:sz w:val="18"/>
              </w:rPr>
              <w:t>Answering a regulator question on bleeding (Figure 15.3)</w:t>
            </w:r>
          </w:p>
        </w:tc>
      </w:tr>
      <w:tr>
        <w:trPr>
          <w:cantSplit/>
        </w:trPr>
        <w:tc>
          <w:tcPr>
            <w:tcW w:type="dxa" w:w="2664"/>
          </w:tcPr>
          <w:p>
            <w:r/>
            <w:r>
              <w:rPr>
                <w:rFonts w:ascii="Calibri" w:hAnsi="Calibri"/>
                <w:b/>
                <w:sz w:val="18"/>
              </w:rPr>
              <w:t xml:space="preserve">16. </w:t>
            </w:r>
            <w:r>
              <w:rPr>
                <w:rFonts w:ascii="Calibri" w:hAnsi="Calibri"/>
                <w:sz w:val="18"/>
              </w:rPr>
              <w:t>Special situations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16.7</w:t>
            </w:r>
          </w:p>
        </w:tc>
        <w:tc>
          <w:tcPr>
            <w:tcW w:type="dxa" w:w="5256"/>
          </w:tcPr>
          <w:p>
            <w:r/>
            <w:r>
              <w:rPr>
                <w:rFonts w:ascii="Calibri" w:hAnsi="Calibri"/>
                <w:sz w:val="18"/>
              </w:rPr>
              <w:t>DSUR and PBRER after approval; the decision to synchronize (Figure 16.2)</w:t>
            </w:r>
          </w:p>
        </w:tc>
      </w:tr>
    </w:tbl>
    <w:p>
      <w:pPr>
        <w:spacing w:before="60" w:after="0"/>
      </w:pPr>
      <w:r>
        <w:rPr>
          <w:rFonts w:ascii="Calibri" w:hAnsi="Calibri"/>
          <w:b/>
          <w:color w:val="1F3A5F"/>
          <w:sz w:val="18"/>
        </w:rPr>
        <w:t xml:space="preserve">Figures: </w:t>
      </w:r>
      <w:r>
        <w:rPr>
          <w:rFonts w:ascii="Calibri" w:hAnsi="Calibri"/>
          <w:sz w:val="18"/>
        </w:rPr>
        <w:t>14.2, 15.3, 16.2.</w:t>
      </w:r>
    </w:p>
    <w:p>
      <w:pPr>
        <w:spacing w:before="60" w:after="0"/>
      </w:pPr>
      <w:r>
        <w:rPr>
          <w:rFonts w:ascii="Calibri" w:hAnsi="Calibri"/>
          <w:b/>
          <w:color w:val="1F3A5F"/>
          <w:sz w:val="18"/>
        </w:rPr>
        <w:t xml:space="preserve">Exercises: </w:t>
      </w:r>
      <w:r>
        <w:rPr>
          <w:rFonts w:ascii="Calibri" w:hAnsi="Calibri"/>
          <w:sz w:val="18"/>
        </w:rPr>
        <w:t>None uses Case C directly.</w:t>
      </w:r>
    </w:p>
    <w:p>
      <w:pPr>
        <w:spacing w:before="60" w:after="0"/>
      </w:pPr>
      <w:r>
        <w:rPr>
          <w:rFonts w:ascii="Calibri" w:hAnsi="Calibri"/>
          <w:b/>
          <w:color w:val="1F3A5F"/>
          <w:sz w:val="18"/>
        </w:rPr>
        <w:t xml:space="preserve">Also in: </w:t>
      </w:r>
      <w:r>
        <w:rPr>
          <w:rFonts w:ascii="Calibri" w:hAnsi="Calibri"/>
          <w:sz w:val="18"/>
        </w:rPr>
        <w:t>Appendix A (marketed-drug notes for Sections 9 and 11; quiet-year note for Section 16).</w:t>
      </w:r>
    </w:p>
    <w:p>
      <w:pPr>
        <w:spacing w:before="100" w:after="0"/>
      </w:pPr>
      <w:r>
        <w:rPr>
          <w:rFonts w:ascii="Calibri" w:hAnsi="Calibri"/>
          <w:i/>
          <w:color w:val="555555"/>
          <w:sz w:val="16"/>
        </w:rPr>
        <w:t>Opening = the scenario that opens the chapter. Section numbers are the book's chapter sections (for example, 4.4), not DSUR sections.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008" w:left="1224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9792" w:val="right"/>
      </w:tabs>
    </w:pPr>
    <w:r>
      <w:rPr>
        <w:rFonts w:ascii="Calibri" w:hAnsi="Calibri"/>
        <w:color w:val="555555"/>
        <w:sz w:val="15"/>
      </w:rPr>
      <w:t>Companion material to Writing the DSUR (Selim Medical Press). Fictional data. Not regulatory advice. CC BY-NC 4.0.</w:t>
    </w:r>
    <w:r>
      <w:rPr>
        <w:rFonts w:ascii="Calibri" w:hAnsi="Calibri"/>
        <w:color w:val="555555"/>
        <w:sz w:val="15"/>
      </w:rPr>
      <w:tab/>
      <w:t xml:space="preserve">Page </w:t>
    </w:r>
    <w:r>
      <w:rPr>
        <w:rFonts w:ascii="Calibri" w:hAnsi="Calibri"/>
        <w:b w:val="0"/>
        <w:color w:val="555555"/>
        <w:sz w:val="15"/>
      </w:rPr>
      <w:fldChar w:fldCharType="begin"/>
    </w:r>
    <w:r>
      <w:rPr>
        <w:rFonts w:ascii="Calibri" w:hAnsi="Calibri"/>
        <w:b w:val="0"/>
        <w:color w:val="555555"/>
        <w:sz w:val="15"/>
      </w:rPr>
      <w:instrText xml:space="preserve"> PAGE </w:instrText>
    </w:r>
    <w:r>
      <w:rPr>
        <w:rFonts w:ascii="Calibri" w:hAnsi="Calibri"/>
        <w:b w:val="0"/>
        <w:color w:val="555555"/>
        <w:sz w:val="15"/>
      </w:rPr>
      <w:fldChar w:fldCharType="separate"/>
    </w:r>
    <w:r>
      <w:rPr>
        <w:rFonts w:ascii="Calibri" w:hAnsi="Calibri"/>
        <w:b w:val="0"/>
        <w:color w:val="555555"/>
        <w:sz w:val="15"/>
      </w:rPr>
      <w:t>1</w:t>
    </w:r>
    <w:r>
      <w:rPr>
        <w:rFonts w:ascii="Calibri" w:hAnsi="Calibri"/>
        <w:b w:val="0"/>
        <w:color w:val="555555"/>
        <w:sz w:val="15"/>
      </w:rPr>
      <w:fldChar w:fldCharType="end"/>
    </w:r>
    <w:r>
      <w:rPr>
        <w:rFonts w:ascii="Calibri" w:hAnsi="Calibri"/>
        <w:color w:val="555555"/>
        <w:sz w:val="15"/>
      </w:rPr>
      <w:t xml:space="preserve"> of </w:t>
    </w:r>
    <w:r>
      <w:rPr>
        <w:rFonts w:ascii="Calibri" w:hAnsi="Calibri"/>
        <w:b w:val="0"/>
        <w:color w:val="555555"/>
        <w:sz w:val="15"/>
      </w:rPr>
      <w:fldChar w:fldCharType="begin"/>
    </w:r>
    <w:r>
      <w:rPr>
        <w:rFonts w:ascii="Calibri" w:hAnsi="Calibri"/>
        <w:b w:val="0"/>
        <w:color w:val="555555"/>
        <w:sz w:val="15"/>
      </w:rPr>
      <w:instrText xml:space="preserve"> NUMPAGES </w:instrText>
    </w:r>
    <w:r>
      <w:rPr>
        <w:rFonts w:ascii="Calibri" w:hAnsi="Calibri"/>
        <w:b w:val="0"/>
        <w:color w:val="555555"/>
        <w:sz w:val="15"/>
      </w:rPr>
      <w:fldChar w:fldCharType="separate"/>
    </w:r>
    <w:r>
      <w:rPr>
        <w:rFonts w:ascii="Calibri" w:hAnsi="Calibri"/>
        <w:b w:val="0"/>
        <w:color w:val="555555"/>
        <w:sz w:val="15"/>
      </w:rPr>
      <w:t>1</w:t>
    </w:r>
    <w:r>
      <w:rPr>
        <w:rFonts w:ascii="Calibri" w:hAnsi="Calibri"/>
        <w:b w:val="0"/>
        <w:color w:val="555555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9792" w:val="right"/>
      </w:tabs>
      <w:pBdr>
        <w:bottom w:val="single" w:sz="4" w:space="4" w:color="C9D3E0"/>
      </w:pBdr>
    </w:pPr>
    <w:r>
      <w:rPr>
        <w:rFonts w:ascii="Calibri" w:hAnsi="Calibri"/>
        <w:color w:val="555555"/>
        <w:sz w:val="17"/>
      </w:rPr>
      <w:t>Writing the DSUR · Case files</w:t>
    </w:r>
    <w:r>
      <w:rPr>
        <w:rFonts w:ascii="Calibri" w:hAnsi="Calibri"/>
        <w:b/>
        <w:color w:val="1F3A5F"/>
        <w:sz w:val="17"/>
      </w:rPr>
      <w:tab/>
      <w:t>Case C · CX-3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C · CX-3, marketed oral anticoagulant, new indication</dc:title>
  <dc:subject>Writing the DSUR, Appendix D case card</dc:subject>
  <dc:creator>Selim Medical Press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