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2E6DA4"/>
          <w:sz w:val="20"/>
        </w:rPr>
        <w:t>CASE D</w:t>
      </w:r>
    </w:p>
    <w:p>
      <w:pPr>
        <w:spacing w:before="0" w:after="120"/>
        <w:pBdr>
          <w:bottom w:val="single" w:sz="8" w:space="4" w:color="1F3A5F"/>
        </w:pBdr>
      </w:pPr>
      <w:r>
        <w:rPr>
          <w:rFonts w:ascii="Calibri" w:hAnsi="Calibri"/>
          <w:b/>
          <w:color w:val="1F3A5F"/>
          <w:sz w:val="36"/>
        </w:rPr>
        <w:t>VD-12, adjuvanted vaccine, healthy adults</w:t>
      </w:r>
    </w:p>
    <w:p>
      <w:pPr>
        <w:spacing w:before="60" w:after="80"/>
        <w:pBdr>
          <w:left w:val="single" w:color="D08A00" w:sz="18" w:space="6"/>
        </w:pBdr>
        <w:shd w:val="clear" w:color="auto" w:fill="FFF4E0"/>
      </w:pPr>
      <w:r>
        <w:rPr>
          <w:rFonts w:ascii="Calibri" w:hAnsi="Calibri"/>
          <w:i/>
          <w:sz w:val="18"/>
        </w:rPr>
        <w:t>Fictional program. All products, codes, sponsors, dates and data are invented. This card reproduces Case D from Appendix D of Writing the DSUR (Case Files A–F) and lists where the book uses the case.</w:t>
      </w:r>
    </w:p>
    <w:p>
      <w:pPr>
        <w:keepNext/>
        <w:spacing w:before="120" w:after="60"/>
      </w:pPr>
      <w:r>
        <w:rPr>
          <w:rFonts w:ascii="Calibri" w:hAnsi="Calibri"/>
          <w:b/>
          <w:color w:val="1F3A5F"/>
          <w:sz w:val="23"/>
        </w:rPr>
        <w:t>Case file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CellMar>
          <w:top w:w="30" w:type="dxa"/>
          <w:left w:w="90" w:type="dxa"/>
          <w:bottom w:w="30" w:type="dxa"/>
          <w:right w:w="90" w:type="dxa"/>
        </w:tblCellMar>
        <w:tblLayout w:type="fixed"/>
      </w:tblPr>
      <w:tblGrid>
        <w:gridCol w:w="1872"/>
        <w:gridCol w:w="7920"/>
      </w:tblGrid>
      <w:tr>
        <w:trPr>
          <w:cantSplit/>
        </w:trPr>
        <w:tc>
          <w:tcPr>
            <w:tcW w:type="dxa" w:w="1872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Setting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sz w:val="18"/>
              </w:rPr>
              <w:t>Completed Phase 2 and two observer-blind, placebo-controlled Phase 3 efficacy trials, in adults 18 to 64 and 65 and older; two doses</w:t>
            </w:r>
          </w:p>
        </w:tc>
      </w:tr>
      <w:tr>
        <w:trPr>
          <w:cantSplit/>
        </w:trPr>
        <w:tc>
          <w:tcPr>
            <w:tcW w:type="dxa" w:w="1872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DIBD and DLP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sz w:val="18"/>
              </w:rPr>
              <w:t>DIBD 5 January 2023; DLP 4 January each year</w:t>
            </w:r>
          </w:p>
        </w:tc>
      </w:tr>
      <w:tr>
        <w:trPr>
          <w:cantSplit/>
        </w:trPr>
        <w:tc>
          <w:tcPr>
            <w:tcW w:type="dxa" w:w="1872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Trials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sz w:val="18"/>
              </w:rPr>
              <w:t>VD-201, Phase 2 (completed); VD-301 and VD-302, Phase 3, about 18,000 adults randomized 1:1 (ongoing, blinded)</w:t>
            </w:r>
          </w:p>
        </w:tc>
      </w:tr>
      <w:tr>
        <w:trPr>
          <w:cantSplit/>
        </w:trPr>
        <w:tc>
          <w:tcPr>
            <w:tcW w:type="dxa" w:w="1872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RSI history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sz w:val="18"/>
              </w:rPr>
              <w:t>IB Edition 3; the protocols list adverse events of special interest, including potential immune-mediated diseases</w:t>
            </w:r>
          </w:p>
        </w:tc>
      </w:tr>
      <w:tr>
        <w:trPr>
          <w:cantSplit/>
        </w:trPr>
        <w:tc>
          <w:tcPr>
            <w:tcW w:type="dxa" w:w="1872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Key events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sz w:val="18"/>
              </w:rPr>
              <w:t>Three Bell's palsy cases in the period (blinded) against about 2.3 expected from background incidence, an observed-to-expected ratio of about 1.3; 41 confirmed cases of the target disease, which are efficacy endpoints and excluded from the SAE tabulation with a footnote; the DMC finds no imbalance</w:t>
            </w:r>
          </w:p>
        </w:tc>
      </w:tr>
      <w:tr>
        <w:trPr>
          <w:cantSplit/>
        </w:trPr>
        <w:tc>
          <w:tcPr>
            <w:tcW w:type="dxa" w:w="1872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What it tests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sz w:val="18"/>
              </w:rPr>
              <w:t>Low event rates against background incidence; adverse events of special interest; endpoint exclusions; a benefit-risk statement for healthy people before efficacy is shown</w:t>
            </w:r>
          </w:p>
        </w:tc>
      </w:tr>
    </w:tbl>
    <w:p>
      <w:pPr>
        <w:keepNext/>
        <w:spacing w:before="120" w:after="60"/>
      </w:pPr>
      <w:r>
        <w:rPr>
          <w:rFonts w:ascii="Calibri" w:hAnsi="Calibri"/>
          <w:b/>
          <w:color w:val="1F3A5F"/>
          <w:sz w:val="23"/>
        </w:rPr>
        <w:t>Where it appears in the book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CellMar>
          <w:top w:w="30" w:type="dxa"/>
          <w:left w:w="90" w:type="dxa"/>
          <w:bottom w:w="30" w:type="dxa"/>
          <w:right w:w="90" w:type="dxa"/>
        </w:tblCellMar>
        <w:tblLayout w:type="fixed"/>
      </w:tblPr>
      <w:tblGrid>
        <w:gridCol w:w="2664"/>
        <w:gridCol w:w="1872"/>
        <w:gridCol w:w="5256"/>
      </w:tblGrid>
      <w:tr>
        <w:trPr>
          <w:tblHeader/>
        </w:trPr>
        <w:tc>
          <w:tcPr>
            <w:tcW w:type="dxa" w:w="2664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Chapter</w:t>
            </w:r>
          </w:p>
        </w:tc>
        <w:tc>
          <w:tcPr>
            <w:tcW w:type="dxa" w:w="1872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Sections</w:t>
            </w:r>
          </w:p>
        </w:tc>
        <w:tc>
          <w:tcPr>
            <w:tcW w:type="dxa" w:w="5256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8"/>
              </w:rPr>
              <w:t>What the case shows there</w:t>
            </w:r>
          </w:p>
        </w:tc>
      </w:tr>
      <w:tr>
        <w:trPr>
          <w:cantSplit/>
        </w:trPr>
        <w:tc>
          <w:tcPr>
            <w:tcW w:type="dxa" w:w="2664"/>
          </w:tcPr>
          <w:p>
            <w:r/>
            <w:r>
              <w:rPr>
                <w:rFonts w:ascii="Calibri" w:hAnsi="Calibri"/>
                <w:b/>
                <w:sz w:val="18"/>
              </w:rPr>
              <w:t xml:space="preserve">1. </w:t>
            </w:r>
            <w:r>
              <w:rPr>
                <w:rFonts w:ascii="Calibri" w:hAnsi="Calibri"/>
                <w:sz w:val="18"/>
              </w:rPr>
              <w:t>What the DSUR is for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1.7</w:t>
            </w:r>
          </w:p>
        </w:tc>
        <w:tc>
          <w:tcPr>
            <w:tcW w:type="dxa" w:w="5256"/>
          </w:tcPr>
          <w:p>
            <w:r/>
            <w:r>
              <w:rPr>
                <w:rFonts w:ascii="Calibri" w:hAnsi="Calibri"/>
                <w:sz w:val="18"/>
              </w:rPr>
              <w:t>Large healthy populations row of the stage table</w:t>
            </w:r>
          </w:p>
        </w:tc>
      </w:tr>
      <w:tr>
        <w:trPr>
          <w:cantSplit/>
        </w:trPr>
        <w:tc>
          <w:tcPr>
            <w:tcW w:type="dxa" w:w="2664"/>
          </w:tcPr>
          <w:p>
            <w:r/>
            <w:r>
              <w:rPr>
                <w:rFonts w:ascii="Calibri" w:hAnsi="Calibri"/>
                <w:b/>
                <w:sz w:val="18"/>
              </w:rPr>
              <w:t xml:space="preserve">5. </w:t>
            </w:r>
            <w:r>
              <w:rPr>
                <w:rFonts w:ascii="Calibri" w:hAnsi="Calibri"/>
                <w:sz w:val="18"/>
              </w:rPr>
              <w:t>Exposure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5.6, 5.8</w:t>
            </w:r>
          </w:p>
        </w:tc>
        <w:tc>
          <w:tcPr>
            <w:tcW w:type="dxa" w:w="5256"/>
          </w:tcPr>
          <w:p>
            <w:r/>
            <w:r>
              <w:rPr>
                <w:rFonts w:ascii="Calibri" w:hAnsi="Calibri"/>
                <w:sz w:val="18"/>
              </w:rPr>
              <w:t>Exposure by dose and age group (Figure 5.3)</w:t>
            </w:r>
          </w:p>
        </w:tc>
      </w:tr>
      <w:tr>
        <w:trPr>
          <w:cantSplit/>
        </w:trPr>
        <w:tc>
          <w:tcPr>
            <w:tcW w:type="dxa" w:w="2664"/>
          </w:tcPr>
          <w:p>
            <w:r/>
            <w:r>
              <w:rPr>
                <w:rFonts w:ascii="Calibri" w:hAnsi="Calibri"/>
                <w:b/>
                <w:sz w:val="18"/>
              </w:rPr>
              <w:t xml:space="preserve">6. </w:t>
            </w:r>
            <w:r>
              <w:rPr>
                <w:rFonts w:ascii="Calibri" w:hAnsi="Calibri"/>
                <w:sz w:val="18"/>
              </w:rPr>
              <w:t>SAE listings, tabulations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Opening; 6.4, 6.7</w:t>
            </w:r>
          </w:p>
        </w:tc>
        <w:tc>
          <w:tcPr>
            <w:tcW w:type="dxa" w:w="5256"/>
          </w:tcPr>
          <w:p>
            <w:r/>
            <w:r>
              <w:rPr>
                <w:rFonts w:ascii="Calibri" w:hAnsi="Calibri"/>
                <w:sz w:val="18"/>
              </w:rPr>
              <w:t>41 target-disease cases excluded from the tabulation with a footnote; adverse events of special interest and the deaths list</w:t>
            </w:r>
          </w:p>
        </w:tc>
      </w:tr>
      <w:tr>
        <w:trPr>
          <w:cantSplit/>
        </w:trPr>
        <w:tc>
          <w:tcPr>
            <w:tcW w:type="dxa" w:w="2664"/>
          </w:tcPr>
          <w:p>
            <w:r/>
            <w:r>
              <w:rPr>
                <w:rFonts w:ascii="Calibri" w:hAnsi="Calibri"/>
                <w:b/>
                <w:sz w:val="18"/>
              </w:rPr>
              <w:t xml:space="preserve">10. </w:t>
            </w:r>
            <w:r>
              <w:rPr>
                <w:rFonts w:ascii="Calibri" w:hAnsi="Calibri"/>
                <w:sz w:val="18"/>
              </w:rPr>
              <w:t>Overall assessment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10.5</w:t>
            </w:r>
          </w:p>
        </w:tc>
        <w:tc>
          <w:tcPr>
            <w:tcW w:type="dxa" w:w="5256"/>
          </w:tcPr>
          <w:p>
            <w:r/>
            <w:r>
              <w:rPr>
                <w:rFonts w:ascii="Calibri" w:hAnsi="Calibri"/>
                <w:sz w:val="18"/>
              </w:rPr>
              <w:t>Bell's palsy against background incidence (Figure 10.4)</w:t>
            </w:r>
          </w:p>
        </w:tc>
      </w:tr>
      <w:tr>
        <w:trPr>
          <w:cantSplit/>
        </w:trPr>
        <w:tc>
          <w:tcPr>
            <w:tcW w:type="dxa" w:w="2664"/>
          </w:tcPr>
          <w:p>
            <w:r/>
            <w:r>
              <w:rPr>
                <w:rFonts w:ascii="Calibri" w:hAnsi="Calibri"/>
                <w:b/>
                <w:sz w:val="18"/>
              </w:rPr>
              <w:t xml:space="preserve">12. </w:t>
            </w:r>
            <w:r>
              <w:rPr>
                <w:rFonts w:ascii="Calibri" w:hAnsi="Calibri"/>
                <w:sz w:val="18"/>
              </w:rPr>
              <w:t>Benefit–risk, Exec. Summary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Opening; 12.2</w:t>
            </w:r>
          </w:p>
        </w:tc>
        <w:tc>
          <w:tcPr>
            <w:tcW w:type="dxa" w:w="5256"/>
          </w:tcPr>
          <w:p>
            <w:r/>
            <w:r>
              <w:rPr>
                <w:rFonts w:ascii="Calibri" w:hAnsi="Calibri"/>
                <w:sz w:val="18"/>
              </w:rPr>
              <w:t>A benefit–risk statement for healthy people before efficacy is shown</w:t>
            </w:r>
          </w:p>
        </w:tc>
      </w:tr>
      <w:tr>
        <w:trPr>
          <w:cantSplit/>
        </w:trPr>
        <w:tc>
          <w:tcPr>
            <w:tcW w:type="dxa" w:w="2664"/>
          </w:tcPr>
          <w:p>
            <w:r/>
            <w:r>
              <w:rPr>
                <w:rFonts w:ascii="Calibri" w:hAnsi="Calibri"/>
                <w:b/>
                <w:sz w:val="18"/>
              </w:rPr>
              <w:t xml:space="preserve">13. </w:t>
            </w:r>
            <w:r>
              <w:rPr>
                <w:rFonts w:ascii="Calibri" w:hAnsi="Calibri"/>
                <w:sz w:val="18"/>
              </w:rPr>
              <w:t>Writing craft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13.10</w:t>
            </w:r>
          </w:p>
        </w:tc>
        <w:tc>
          <w:tcPr>
            <w:tcW w:type="dxa" w:w="5256"/>
          </w:tcPr>
          <w:p>
            <w:r/>
            <w:r>
              <w:rPr>
                <w:rFonts w:ascii="Calibri" w:hAnsi="Calibri"/>
                <w:sz w:val="18"/>
              </w:rPr>
              <w:t>Observed-against-expected figure</w:t>
            </w:r>
          </w:p>
        </w:tc>
      </w:tr>
    </w:tbl>
    <w:p>
      <w:pPr>
        <w:spacing w:before="60" w:after="0"/>
      </w:pPr>
      <w:r>
        <w:rPr>
          <w:rFonts w:ascii="Calibri" w:hAnsi="Calibri"/>
          <w:b/>
          <w:color w:val="1F3A5F"/>
          <w:sz w:val="18"/>
        </w:rPr>
        <w:t xml:space="preserve">Figures: </w:t>
      </w:r>
      <w:r>
        <w:rPr>
          <w:rFonts w:ascii="Calibri" w:hAnsi="Calibri"/>
          <w:sz w:val="18"/>
        </w:rPr>
        <w:t>5.3, 10.4.</w:t>
      </w:r>
    </w:p>
    <w:p>
      <w:pPr>
        <w:spacing w:before="60" w:after="0"/>
      </w:pPr>
      <w:r>
        <w:rPr>
          <w:rFonts w:ascii="Calibri" w:hAnsi="Calibri"/>
          <w:b/>
          <w:color w:val="1F3A5F"/>
          <w:sz w:val="18"/>
        </w:rPr>
        <w:t xml:space="preserve">Exercises: </w:t>
      </w:r>
      <w:r>
        <w:rPr>
          <w:rFonts w:ascii="Calibri" w:hAnsi="Calibri"/>
          <w:sz w:val="18"/>
        </w:rPr>
        <w:t>Chapter 9, Exercise 1 (VD-201 study report summary; model answer in Appendix E).</w:t>
      </w:r>
    </w:p>
    <w:p>
      <w:pPr>
        <w:spacing w:before="60" w:after="0"/>
      </w:pPr>
      <w:r>
        <w:rPr>
          <w:rFonts w:ascii="Calibri" w:hAnsi="Calibri"/>
          <w:b/>
          <w:color w:val="1F3A5F"/>
          <w:sz w:val="18"/>
        </w:rPr>
        <w:t xml:space="preserve">Also in: </w:t>
      </w:r>
      <w:r>
        <w:rPr>
          <w:rFonts w:ascii="Calibri" w:hAnsi="Calibri"/>
          <w:sz w:val="18"/>
        </w:rPr>
        <w:t>Appendix A (late-development note for Section 7); Appendix E (answer to Chapter 9, Exercise 1).</w:t>
      </w:r>
    </w:p>
    <w:p>
      <w:pPr>
        <w:spacing w:before="100" w:after="0"/>
      </w:pPr>
      <w:r>
        <w:rPr>
          <w:rFonts w:ascii="Calibri" w:hAnsi="Calibri"/>
          <w:i/>
          <w:color w:val="555555"/>
          <w:sz w:val="16"/>
        </w:rPr>
        <w:t>Opening = the scenario that opens the chapter. Section numbers are the book's chapter sections (for example, 4.4), not DSUR sections.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24" w:bottom="1008" w:left="1224" w:header="576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9792" w:val="right"/>
      </w:tabs>
    </w:pPr>
    <w:r>
      <w:rPr>
        <w:rFonts w:ascii="Calibri" w:hAnsi="Calibri"/>
        <w:color w:val="555555"/>
        <w:sz w:val="15"/>
      </w:rPr>
      <w:t>Companion material to Writing the DSUR (Selim Medical Press). Fictional data. Not regulatory advice. CC BY-NC 4.0.</w:t>
    </w:r>
    <w:r>
      <w:rPr>
        <w:rFonts w:ascii="Calibri" w:hAnsi="Calibri"/>
        <w:color w:val="555555"/>
        <w:sz w:val="15"/>
      </w:rPr>
      <w:tab/>
      <w:t xml:space="preserve">Page </w:t>
    </w:r>
    <w:r>
      <w:rPr>
        <w:rFonts w:ascii="Calibri" w:hAnsi="Calibri"/>
        <w:b w:val="0"/>
        <w:color w:val="555555"/>
        <w:sz w:val="15"/>
      </w:rPr>
      <w:fldChar w:fldCharType="begin"/>
    </w:r>
    <w:r>
      <w:rPr>
        <w:rFonts w:ascii="Calibri" w:hAnsi="Calibri"/>
        <w:b w:val="0"/>
        <w:color w:val="555555"/>
        <w:sz w:val="15"/>
      </w:rPr>
      <w:instrText xml:space="preserve"> PAGE </w:instrText>
    </w:r>
    <w:r>
      <w:rPr>
        <w:rFonts w:ascii="Calibri" w:hAnsi="Calibri"/>
        <w:b w:val="0"/>
        <w:color w:val="555555"/>
        <w:sz w:val="15"/>
      </w:rPr>
      <w:fldChar w:fldCharType="separate"/>
    </w:r>
    <w:r>
      <w:rPr>
        <w:rFonts w:ascii="Calibri" w:hAnsi="Calibri"/>
        <w:b w:val="0"/>
        <w:color w:val="555555"/>
        <w:sz w:val="15"/>
      </w:rPr>
      <w:t>1</w:t>
    </w:r>
    <w:r>
      <w:rPr>
        <w:rFonts w:ascii="Calibri" w:hAnsi="Calibri"/>
        <w:b w:val="0"/>
        <w:color w:val="555555"/>
        <w:sz w:val="15"/>
      </w:rPr>
      <w:fldChar w:fldCharType="end"/>
    </w:r>
    <w:r>
      <w:rPr>
        <w:rFonts w:ascii="Calibri" w:hAnsi="Calibri"/>
        <w:color w:val="555555"/>
        <w:sz w:val="15"/>
      </w:rPr>
      <w:t xml:space="preserve"> of </w:t>
    </w:r>
    <w:r>
      <w:rPr>
        <w:rFonts w:ascii="Calibri" w:hAnsi="Calibri"/>
        <w:b w:val="0"/>
        <w:color w:val="555555"/>
        <w:sz w:val="15"/>
      </w:rPr>
      <w:fldChar w:fldCharType="begin"/>
    </w:r>
    <w:r>
      <w:rPr>
        <w:rFonts w:ascii="Calibri" w:hAnsi="Calibri"/>
        <w:b w:val="0"/>
        <w:color w:val="555555"/>
        <w:sz w:val="15"/>
      </w:rPr>
      <w:instrText xml:space="preserve"> NUMPAGES </w:instrText>
    </w:r>
    <w:r>
      <w:rPr>
        <w:rFonts w:ascii="Calibri" w:hAnsi="Calibri"/>
        <w:b w:val="0"/>
        <w:color w:val="555555"/>
        <w:sz w:val="15"/>
      </w:rPr>
      <w:fldChar w:fldCharType="separate"/>
    </w:r>
    <w:r>
      <w:rPr>
        <w:rFonts w:ascii="Calibri" w:hAnsi="Calibri"/>
        <w:b w:val="0"/>
        <w:color w:val="555555"/>
        <w:sz w:val="15"/>
      </w:rPr>
      <w:t>1</w:t>
    </w:r>
    <w:r>
      <w:rPr>
        <w:rFonts w:ascii="Calibri" w:hAnsi="Calibri"/>
        <w:b w:val="0"/>
        <w:color w:val="555555"/>
        <w:sz w:val="15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680" w:val="clear"/>
        <w:tab w:pos="9360" w:val="clear"/>
        <w:tab w:pos="9792" w:val="right"/>
      </w:tabs>
      <w:pBdr>
        <w:bottom w:val="single" w:sz="4" w:space="4" w:color="C9D3E0"/>
      </w:pBdr>
    </w:pPr>
    <w:r>
      <w:rPr>
        <w:rFonts w:ascii="Calibri" w:hAnsi="Calibri"/>
        <w:color w:val="555555"/>
        <w:sz w:val="17"/>
      </w:rPr>
      <w:t>Writing the DSUR · Case files</w:t>
    </w:r>
    <w:r>
      <w:rPr>
        <w:rFonts w:ascii="Calibri" w:hAnsi="Calibri"/>
        <w:b/>
        <w:color w:val="1F3A5F"/>
        <w:sz w:val="17"/>
      </w:rPr>
      <w:tab/>
      <w:t>Case D · VD-12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D · VD-12, adjuvanted vaccine, healthy adults</dc:title>
  <dc:subject>Writing the DSUR, Appendix D case card</dc:subject>
  <dc:creator>Selim Medical Press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