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2E6DA4"/>
          <w:sz w:val="20"/>
        </w:rPr>
        <w:t>CASE E</w:t>
      </w:r>
    </w:p>
    <w:p>
      <w:pPr>
        <w:spacing w:before="0" w:after="120"/>
        <w:pBdr>
          <w:bottom w:val="single" w:sz="8" w:space="4" w:color="1F3A5F"/>
        </w:pBdr>
      </w:pPr>
      <w:r>
        <w:rPr>
          <w:rFonts w:ascii="Calibri" w:hAnsi="Calibri"/>
          <w:b/>
          <w:color w:val="1F3A5F"/>
          <w:sz w:val="36"/>
        </w:rPr>
        <w:t>GT-5, AAV gene therapy, rare neuromuscular disease</w:t>
      </w:r>
    </w:p>
    <w:p>
      <w:pPr>
        <w:spacing w:before="60" w:after="80"/>
        <w:pBdr>
          <w:left w:val="single" w:color="D08A00" w:sz="18" w:space="6"/>
        </w:pBdr>
        <w:shd w:val="clear" w:color="auto" w:fill="FFF4E0"/>
      </w:pPr>
      <w:r>
        <w:rPr>
          <w:rFonts w:ascii="Calibri" w:hAnsi="Calibri"/>
          <w:i/>
          <w:sz w:val="18"/>
        </w:rPr>
        <w:t>Fictional program. All products, codes, sponsors, dates and data are invented. This card reproduces Case E from Appendix D of Writing the DSUR (Case Files A–F) and lists where the book uses the case.</w:t>
      </w:r>
    </w:p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Case 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1872"/>
        <w:gridCol w:w="7920"/>
      </w:tblGrid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Setting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Single-arm Phase 1/2 (12 subjects) and Phase 3 (24 subjects), both completed; long-term follow-up ongoing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DIBD and DLP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DIBD 18 October 2019; DLP 17 October each year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Trials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GT-101 and GT-301 (completed); GT-LTFU, a long-term follow-up study of all 36 dosed subjects (ongoing in the United States and Europe; its Japanese part has ended)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Exposure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36 subjects dosed once; 124 subject-years of follow-up; median 3.4 years since dosing (range 1.8 to 6.2)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RSI history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IB Edition 7; hepatotoxicity (transaminase elevations) and immune responses listed; oncogenicity a theoretical, important potential risk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Transaminase rises in the first eight weeks after dosing, managed with corticosteroids, not recurring in follow-up; no malignancy, no new neurologic event of special interest and no late hepatic event; no subject lost to follow-up; development ending in Japan, with a final DSUR there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it tests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Tiny denominators; delayed and theoretical risks; follow-up as the only new data (Section 8.3); the final-DSUR statement</w:t>
            </w:r>
          </w:p>
        </w:tc>
      </w:tr>
    </w:tbl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Where it appears in the 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2664"/>
        <w:gridCol w:w="1872"/>
        <w:gridCol w:w="5256"/>
      </w:tblGrid>
      <w:tr>
        <w:trPr>
          <w:tblHeader/>
        </w:trPr>
        <w:tc>
          <w:tcPr>
            <w:tcW w:type="dxa" w:w="2664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Chapter</w:t>
            </w:r>
          </w:p>
        </w:tc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Sections</w:t>
            </w:r>
          </w:p>
        </w:tc>
        <w:tc>
          <w:tcPr>
            <w:tcW w:type="dxa" w:w="5256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the case shows there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1. </w:t>
            </w:r>
            <w:r>
              <w:rPr>
                <w:rFonts w:ascii="Calibri" w:hAnsi="Calibri"/>
                <w:sz w:val="18"/>
              </w:rPr>
              <w:t>What the DSUR is for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Follow-up only, or ending, row of the stage table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5. </w:t>
            </w:r>
            <w:r>
              <w:rPr>
                <w:rFonts w:ascii="Calibri" w:hAnsi="Calibri"/>
                <w:sz w:val="18"/>
              </w:rPr>
              <w:t>Exposure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5.6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Tiny denominators: follow-up time as the exposure measure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9. </w:t>
            </w:r>
            <w:r>
              <w:rPr>
                <w:rFonts w:ascii="Calibri" w:hAnsi="Calibri"/>
                <w:sz w:val="18"/>
              </w:rPr>
              <w:t>Clinical trial findings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9.5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Long-term follow-up as the only new data (Section 8.3)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11. </w:t>
            </w:r>
            <w:r>
              <w:rPr>
                <w:rFonts w:ascii="Calibri" w:hAnsi="Calibri"/>
                <w:sz w:val="18"/>
              </w:rPr>
              <w:t>Important risks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11.5, 11.10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A theoretical risk with no cases; GT-5's Section 19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13. </w:t>
            </w:r>
            <w:r>
              <w:rPr>
                <w:rFonts w:ascii="Calibri" w:hAnsi="Calibri"/>
                <w:sz w:val="18"/>
              </w:rPr>
              <w:t>Writing craft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13.10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Follow-up-time figure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16. </w:t>
            </w:r>
            <w:r>
              <w:rPr>
                <w:rFonts w:ascii="Calibri" w:hAnsi="Calibri"/>
                <w:sz w:val="18"/>
              </w:rPr>
              <w:t>Special situations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16.3, 16.6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Last DSUR for Japan and the final-DSUR statement; advanced therapy products</w:t>
            </w:r>
          </w:p>
        </w:tc>
      </w:tr>
    </w:tbl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Figures: </w:t>
      </w:r>
      <w:r>
        <w:rPr>
          <w:rFonts w:ascii="Calibri" w:hAnsi="Calibri"/>
          <w:sz w:val="18"/>
        </w:rPr>
        <w:t>None specific to Case E.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Exercises: </w:t>
      </w:r>
      <w:r>
        <w:rPr>
          <w:rFonts w:ascii="Calibri" w:hAnsi="Calibri"/>
          <w:sz w:val="18"/>
        </w:rPr>
        <w:t>Chapter 12, Exercise 1 (one of three statements); Chapter 16, Exercise 2 (final-DSUR statement for the EU).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Also in: </w:t>
      </w:r>
      <w:r>
        <w:rPr>
          <w:rFonts w:ascii="Calibri" w:hAnsi="Calibri"/>
          <w:sz w:val="18"/>
        </w:rPr>
        <w:t>Appendix E (answers to the exercises above).</w:t>
      </w:r>
    </w:p>
    <w:p>
      <w:pPr>
        <w:spacing w:before="100" w:after="0"/>
      </w:pPr>
      <w:r>
        <w:rPr>
          <w:rFonts w:ascii="Calibri" w:hAnsi="Calibri"/>
          <w:i/>
          <w:color w:val="555555"/>
          <w:sz w:val="16"/>
        </w:rPr>
        <w:t>Opening = the scenario that opens the chapter. Section numbers are the book's chapter sections (for example, 4.4), not DSUR sections.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792" w:val="right"/>
      </w:tabs>
    </w:pPr>
    <w:r>
      <w:rPr>
        <w:rFonts w:ascii="Calibri" w:hAnsi="Calibri"/>
        <w:color w:val="555555"/>
        <w:sz w:val="15"/>
      </w:rPr>
      <w:t>Companion material to Writing the DSUR (Selim Medical Press). Fictional data. Not regulatory advice. CC BY-NC 4.0.</w:t>
    </w:r>
    <w:r>
      <w:rPr>
        <w:rFonts w:ascii="Calibri" w:hAnsi="Calibri"/>
        <w:color w:val="555555"/>
        <w:sz w:val="15"/>
      </w:rPr>
      <w:tab/>
      <w:t xml:space="preserve">Page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PAGE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  <w:r>
      <w:rPr>
        <w:rFonts w:ascii="Calibri" w:hAnsi="Calibri"/>
        <w:color w:val="555555"/>
        <w:sz w:val="15"/>
      </w:rPr>
      <w:t xml:space="preserve"> of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NUMPAGES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92" w:val="right"/>
      </w:tabs>
      <w:pBdr>
        <w:bottom w:val="single" w:sz="4" w:space="4" w:color="C9D3E0"/>
      </w:pBdr>
    </w:pPr>
    <w:r>
      <w:rPr>
        <w:rFonts w:ascii="Calibri" w:hAnsi="Calibri"/>
        <w:color w:val="555555"/>
        <w:sz w:val="17"/>
      </w:rPr>
      <w:t>Writing the DSUR · Case files</w:t>
    </w:r>
    <w:r>
      <w:rPr>
        <w:rFonts w:ascii="Calibri" w:hAnsi="Calibri"/>
        <w:b/>
        <w:color w:val="1F3A5F"/>
        <w:sz w:val="17"/>
      </w:rPr>
      <w:tab/>
      <w:t>Case E · GT-5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E · GT-5, AAV gene therapy, rare neuromuscular disease</dc:title>
  <dc:subject>Writing the DSUR, Appendix D case card</dc:subject>
  <dc:creator>Selim Medical Press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