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2E6DA4"/>
          <w:sz w:val="20"/>
        </w:rPr>
        <w:t>CASE F</w:t>
      </w:r>
    </w:p>
    <w:p>
      <w:pPr>
        <w:spacing w:before="0" w:after="120"/>
        <w:pBdr>
          <w:bottom w:val="single" w:sz="8" w:space="4" w:color="1F3A5F"/>
        </w:pBdr>
      </w:pPr>
      <w:r>
        <w:rPr>
          <w:rFonts w:ascii="Calibri" w:hAnsi="Calibri"/>
          <w:b/>
          <w:color w:val="1F3A5F"/>
          <w:sz w:val="36"/>
        </w:rPr>
        <w:t>PX-22, small molecule, co-developed</w:t>
      </w:r>
    </w:p>
    <w:p>
      <w:pPr>
        <w:spacing w:before="60" w:after="80"/>
        <w:pBdr>
          <w:left w:val="single" w:color="D08A00" w:sz="18" w:space="6"/>
        </w:pBdr>
        <w:shd w:val="clear" w:color="auto" w:fill="FFF4E0"/>
      </w:pPr>
      <w:r>
        <w:rPr>
          <w:rFonts w:ascii="Calibri" w:hAnsi="Calibri"/>
          <w:i/>
          <w:sz w:val="18"/>
        </w:rPr>
        <w:t>Fictional program. All products, codes, sponsors, dates and data are invented. This card reproduces Case F from Appendix D of Writing the DSUR (Case Files A–F) and lists where the book uses the case.</w:t>
      </w:r>
    </w:p>
    <w:p>
      <w:pPr>
        <w:keepNext/>
        <w:spacing w:before="120" w:after="60"/>
      </w:pPr>
      <w:r>
        <w:rPr>
          <w:rFonts w:ascii="Calibri" w:hAnsi="Calibri"/>
          <w:b/>
          <w:color w:val="1F3A5F"/>
          <w:sz w:val="23"/>
        </w:rPr>
        <w:t>Case file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30" w:type="dxa"/>
          <w:left w:w="90" w:type="dxa"/>
          <w:bottom w:w="30" w:type="dxa"/>
          <w:right w:w="90" w:type="dxa"/>
        </w:tblCellMar>
        <w:tblLayout w:type="fixed"/>
      </w:tblPr>
      <w:tblGrid>
        <w:gridCol w:w="1872"/>
        <w:gridCol w:w="7920"/>
      </w:tblGrid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Setting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The sponsor develops PX-22 for oncology in the United States and Europe; a licensing partner develops it for an inflammatory disease in Japan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DIBD and DLP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Sponsor DIBD 1 July 2022; DLP 30 June each year. Separate DSURs by written agreement, with the rationale stated in each Section 1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Trials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Sponsor: PX-201 and PX-301 (ongoing). Partner: PXJ-201 (ongoing)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RSI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The sponsor's IB Edition 4 does not list rash; the partner's IB does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Data exchange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The partner shares quarterly line listings of serious adverse reactions but no exposure data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Key events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The partner's DSUR for the period ending 30 June 2026 reports 11 cases of rash, three serious, in PXJ-201; the sponsor summarizes them in Sections 10 and 14, requests exposure data, and agrees with the partner to harmonize the RSI by the next DSUR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What it tests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Multiple DSURs for one substance; data gaps stated in Section 1; divergent RSI; summaries of other DSURs in Section 14; consistent conclusions across two sponsors</w:t>
            </w:r>
          </w:p>
        </w:tc>
      </w:tr>
    </w:tbl>
    <w:p>
      <w:pPr>
        <w:keepNext/>
        <w:spacing w:before="120" w:after="60"/>
      </w:pPr>
      <w:r>
        <w:rPr>
          <w:rFonts w:ascii="Calibri" w:hAnsi="Calibri"/>
          <w:b/>
          <w:color w:val="1F3A5F"/>
          <w:sz w:val="23"/>
        </w:rPr>
        <w:t>Where it appears in the book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30" w:type="dxa"/>
          <w:left w:w="90" w:type="dxa"/>
          <w:bottom w:w="30" w:type="dxa"/>
          <w:right w:w="90" w:type="dxa"/>
        </w:tblCellMar>
        <w:tblLayout w:type="fixed"/>
      </w:tblPr>
      <w:tblGrid>
        <w:gridCol w:w="2664"/>
        <w:gridCol w:w="1872"/>
        <w:gridCol w:w="5256"/>
      </w:tblGrid>
      <w:tr>
        <w:trPr>
          <w:tblHeader/>
        </w:trPr>
        <w:tc>
          <w:tcPr>
            <w:tcW w:type="dxa" w:w="2664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Chapter</w:t>
            </w:r>
          </w:p>
        </w:tc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Sections</w:t>
            </w:r>
          </w:p>
        </w:tc>
        <w:tc>
          <w:tcPr>
            <w:tcW w:type="dxa" w:w="5256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What the case shows there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1. </w:t>
            </w:r>
            <w:r>
              <w:rPr>
                <w:rFonts w:ascii="Calibri" w:hAnsi="Calibri"/>
                <w:sz w:val="18"/>
              </w:rPr>
              <w:t>What the DSUR is for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1.7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Partnered development row of the stage table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2. </w:t>
            </w:r>
            <w:r>
              <w:rPr>
                <w:rFonts w:ascii="Calibri" w:hAnsi="Calibri"/>
                <w:sz w:val="18"/>
              </w:rPr>
              <w:t>Scope decisions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Opening; 2.3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One DSUR or several; the Section 1 wording for separate DSURs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4. </w:t>
            </w:r>
            <w:r>
              <w:rPr>
                <w:rFonts w:ascii="Calibri" w:hAnsi="Calibri"/>
                <w:sz w:val="18"/>
              </w:rPr>
              <w:t>Reference safety info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4.6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Partners with different reference safety information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5. </w:t>
            </w:r>
            <w:r>
              <w:rPr>
                <w:rFonts w:ascii="Calibri" w:hAnsi="Calibri"/>
                <w:sz w:val="18"/>
              </w:rPr>
              <w:t>Exposure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5.9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Partner trials with no exposure data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7. </w:t>
            </w:r>
            <w:r>
              <w:rPr>
                <w:rFonts w:ascii="Calibri" w:hAnsi="Calibri"/>
                <w:sz w:val="18"/>
              </w:rPr>
              <w:t>Beyond your own trials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7.3, 7.5, 7.8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Section 10 entry without rates; working with partners; summarizing the partner's DSUR in Section 14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12. </w:t>
            </w:r>
            <w:r>
              <w:rPr>
                <w:rFonts w:ascii="Calibri" w:hAnsi="Calibri"/>
                <w:sz w:val="18"/>
              </w:rPr>
              <w:t>Benefit–risk, Exec. Summary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12.3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Writing the conclusions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17. </w:t>
            </w:r>
            <w:r>
              <w:rPr>
                <w:rFonts w:ascii="Calibri" w:hAnsi="Calibri"/>
                <w:sz w:val="18"/>
              </w:rPr>
              <w:t>Executive review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17.9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Reviewing conclusions that must agree with the partner's DSUR</w:t>
            </w:r>
          </w:p>
        </w:tc>
      </w:tr>
    </w:tbl>
    <w:p>
      <w:pPr>
        <w:spacing w:before="60" w:after="0"/>
      </w:pPr>
      <w:r>
        <w:rPr>
          <w:rFonts w:ascii="Calibri" w:hAnsi="Calibri"/>
          <w:b/>
          <w:color w:val="1F3A5F"/>
          <w:sz w:val="18"/>
        </w:rPr>
        <w:t xml:space="preserve">Figures: </w:t>
      </w:r>
      <w:r>
        <w:rPr>
          <w:rFonts w:ascii="Calibri" w:hAnsi="Calibri"/>
          <w:sz w:val="18"/>
        </w:rPr>
        <w:t>None specific to Case F.</w:t>
      </w:r>
    </w:p>
    <w:p>
      <w:pPr>
        <w:spacing w:before="60" w:after="0"/>
      </w:pPr>
      <w:r>
        <w:rPr>
          <w:rFonts w:ascii="Calibri" w:hAnsi="Calibri"/>
          <w:b/>
          <w:color w:val="1F3A5F"/>
          <w:sz w:val="18"/>
        </w:rPr>
        <w:t xml:space="preserve">Exercises: </w:t>
      </w:r>
      <w:r>
        <w:rPr>
          <w:rFonts w:ascii="Calibri" w:hAnsi="Calibri"/>
          <w:sz w:val="18"/>
        </w:rPr>
        <w:t>None uses Case F directly.</w:t>
      </w:r>
    </w:p>
    <w:p>
      <w:pPr>
        <w:spacing w:before="60" w:after="0"/>
      </w:pPr>
      <w:r>
        <w:rPr>
          <w:rFonts w:ascii="Calibri" w:hAnsi="Calibri"/>
          <w:b/>
          <w:color w:val="1F3A5F"/>
          <w:sz w:val="18"/>
        </w:rPr>
        <w:t xml:space="preserve">Also in: </w:t>
      </w:r>
      <w:r>
        <w:rPr>
          <w:rFonts w:ascii="Calibri" w:hAnsi="Calibri"/>
          <w:sz w:val="18"/>
        </w:rPr>
        <w:t>None.</w:t>
      </w:r>
    </w:p>
    <w:p>
      <w:pPr>
        <w:spacing w:before="100" w:after="0"/>
      </w:pPr>
      <w:r>
        <w:rPr>
          <w:rFonts w:ascii="Calibri" w:hAnsi="Calibri"/>
          <w:i/>
          <w:color w:val="555555"/>
          <w:sz w:val="16"/>
        </w:rPr>
        <w:t>Opening = the scenario that opens the chapter. Section numbers are the book's chapter sections (for example, 4.4), not DSUR sections.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08" w:left="1224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792" w:val="right"/>
      </w:tabs>
    </w:pPr>
    <w:r>
      <w:rPr>
        <w:rFonts w:ascii="Calibri" w:hAnsi="Calibri"/>
        <w:color w:val="555555"/>
        <w:sz w:val="15"/>
      </w:rPr>
      <w:t>Companion material to Writing the DSUR (Selim Medical Press). Fictional data. Not regulatory advice. CC BY-NC 4.0.</w:t>
    </w:r>
    <w:r>
      <w:rPr>
        <w:rFonts w:ascii="Calibri" w:hAnsi="Calibri"/>
        <w:color w:val="555555"/>
        <w:sz w:val="15"/>
      </w:rPr>
      <w:tab/>
      <w:t xml:space="preserve">Page </w:t>
    </w:r>
    <w:r>
      <w:rPr>
        <w:rFonts w:ascii="Calibri" w:hAnsi="Calibri"/>
        <w:b w:val="0"/>
        <w:color w:val="555555"/>
        <w:sz w:val="15"/>
      </w:rPr>
      <w:fldChar w:fldCharType="begin"/>
    </w:r>
    <w:r>
      <w:rPr>
        <w:rFonts w:ascii="Calibri" w:hAnsi="Calibri"/>
        <w:b w:val="0"/>
        <w:color w:val="555555"/>
        <w:sz w:val="15"/>
      </w:rPr>
      <w:instrText xml:space="preserve"> PAGE </w:instrText>
    </w:r>
    <w:r>
      <w:rPr>
        <w:rFonts w:ascii="Calibri" w:hAnsi="Calibri"/>
        <w:b w:val="0"/>
        <w:color w:val="555555"/>
        <w:sz w:val="15"/>
      </w:rPr>
      <w:fldChar w:fldCharType="separate"/>
    </w:r>
    <w:r>
      <w:rPr>
        <w:rFonts w:ascii="Calibri" w:hAnsi="Calibri"/>
        <w:b w:val="0"/>
        <w:color w:val="555555"/>
        <w:sz w:val="15"/>
      </w:rPr>
      <w:t>1</w:t>
    </w:r>
    <w:r>
      <w:rPr>
        <w:rFonts w:ascii="Calibri" w:hAnsi="Calibri"/>
        <w:b w:val="0"/>
        <w:color w:val="555555"/>
        <w:sz w:val="15"/>
      </w:rPr>
      <w:fldChar w:fldCharType="end"/>
    </w:r>
    <w:r>
      <w:rPr>
        <w:rFonts w:ascii="Calibri" w:hAnsi="Calibri"/>
        <w:color w:val="555555"/>
        <w:sz w:val="15"/>
      </w:rPr>
      <w:t xml:space="preserve"> of </w:t>
    </w:r>
    <w:r>
      <w:rPr>
        <w:rFonts w:ascii="Calibri" w:hAnsi="Calibri"/>
        <w:b w:val="0"/>
        <w:color w:val="555555"/>
        <w:sz w:val="15"/>
      </w:rPr>
      <w:fldChar w:fldCharType="begin"/>
    </w:r>
    <w:r>
      <w:rPr>
        <w:rFonts w:ascii="Calibri" w:hAnsi="Calibri"/>
        <w:b w:val="0"/>
        <w:color w:val="555555"/>
        <w:sz w:val="15"/>
      </w:rPr>
      <w:instrText xml:space="preserve"> NUMPAGES </w:instrText>
    </w:r>
    <w:r>
      <w:rPr>
        <w:rFonts w:ascii="Calibri" w:hAnsi="Calibri"/>
        <w:b w:val="0"/>
        <w:color w:val="555555"/>
        <w:sz w:val="15"/>
      </w:rPr>
      <w:fldChar w:fldCharType="separate"/>
    </w:r>
    <w:r>
      <w:rPr>
        <w:rFonts w:ascii="Calibri" w:hAnsi="Calibri"/>
        <w:b w:val="0"/>
        <w:color w:val="555555"/>
        <w:sz w:val="15"/>
      </w:rPr>
      <w:t>1</w:t>
    </w:r>
    <w:r>
      <w:rPr>
        <w:rFonts w:ascii="Calibri" w:hAnsi="Calibri"/>
        <w:b w:val="0"/>
        <w:color w:val="555555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792" w:val="right"/>
      </w:tabs>
      <w:pBdr>
        <w:bottom w:val="single" w:sz="4" w:space="4" w:color="C9D3E0"/>
      </w:pBdr>
    </w:pPr>
    <w:r>
      <w:rPr>
        <w:rFonts w:ascii="Calibri" w:hAnsi="Calibri"/>
        <w:color w:val="555555"/>
        <w:sz w:val="17"/>
      </w:rPr>
      <w:t>Writing the DSUR · Case files</w:t>
    </w:r>
    <w:r>
      <w:rPr>
        <w:rFonts w:ascii="Calibri" w:hAnsi="Calibri"/>
        <w:b/>
        <w:color w:val="1F3A5F"/>
        <w:sz w:val="17"/>
      </w:rPr>
      <w:tab/>
      <w:t>Case F · PX-22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F · PX-22, small molecule, co-developed</dc:title>
  <dc:subject>Writing the DSUR, Appendix D case card</dc:subject>
  <dc:creator>Selim Medical Press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