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DSUR Scope Record</w:t>
      </w:r>
    </w:p>
    <w:p>
      <w:r>
        <w:rPr>
          <w:i/>
          <w:color w:val="4A5D75"/>
          <w:sz w:val="17"/>
        </w:rPr>
        <w:t>Decide at the kickoff meeting, eight to ten weeks before the data lock point, and keep to a single page where you can. The safety physician signs it. Amend it when scope changes during the year, and use it as next year's starting point. It is the single source for the title page and Section 1 (Writing the DSUR, Chapter 2, 2.6). Text in square brackets is to be replaced; delete these italic notes when the record is complete.</w:t>
      </w:r>
    </w:p>
    <w:p>
      <w:pPr>
        <w:pStyle w:val="Heading2"/>
        <w:spacing w:before="160" w:after="40"/>
      </w:pPr>
      <w:r>
        <w:t>1. Report and product</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DSUR number</w:t>
            </w:r>
          </w:p>
        </w:tc>
        <w:tc>
          <w:tcPr>
            <w:tcW w:type="dxa" w:w="7087"/>
          </w:tcPr>
          <w:p>
            <w:r/>
            <w:r>
              <w:rPr>
                <w:color w:val="4A5D75"/>
                <w:sz w:val="18"/>
              </w:rPr>
              <w:t>[n]</w:t>
            </w:r>
          </w:p>
        </w:tc>
      </w:tr>
      <w:tr>
        <w:tc>
          <w:tcPr>
            <w:tcW w:type="dxa" w:w="3061"/>
            <w:shd w:val="clear" w:color="auto" w:fill="E8EDF4"/>
          </w:tcPr>
          <w:p>
            <w:r/>
            <w:r>
              <w:rPr>
                <w:b/>
                <w:sz w:val="18"/>
              </w:rPr>
              <w:t>Investigational drug</w:t>
            </w:r>
          </w:p>
        </w:tc>
        <w:tc>
          <w:tcPr>
            <w:tcW w:type="dxa" w:w="7087"/>
          </w:tcPr>
          <w:p>
            <w:r/>
            <w:r>
              <w:rPr>
                <w:color w:val="4A5D75"/>
                <w:sz w:val="18"/>
              </w:rPr>
              <w:t>[drug code / INN]</w:t>
            </w:r>
          </w:p>
        </w:tc>
      </w:tr>
      <w:tr>
        <w:tc>
          <w:tcPr>
            <w:tcW w:type="dxa" w:w="3061"/>
            <w:shd w:val="clear" w:color="auto" w:fill="E8EDF4"/>
          </w:tcPr>
          <w:p>
            <w:r/>
            <w:r>
              <w:rPr>
                <w:b/>
                <w:sz w:val="18"/>
              </w:rPr>
              <w:t>Formulations and routes covered</w:t>
            </w:r>
          </w:p>
        </w:tc>
        <w:tc>
          <w:tcPr>
            <w:tcW w:type="dxa" w:w="7087"/>
          </w:tcPr>
          <w:p>
            <w:r/>
            <w:r>
              <w:rPr>
                <w:color w:val="4A5D75"/>
                <w:sz w:val="18"/>
              </w:rPr>
              <w:t>[all dosage forms, strengths and routes covered by this DSUR]</w:t>
            </w:r>
          </w:p>
        </w:tc>
      </w:tr>
      <w:tr>
        <w:tc>
          <w:tcPr>
            <w:tcW w:type="dxa" w:w="3061"/>
            <w:shd w:val="clear" w:color="auto" w:fill="E8EDF4"/>
          </w:tcPr>
          <w:p>
            <w:r/>
            <w:r>
              <w:rPr>
                <w:b/>
                <w:sz w:val="18"/>
              </w:rPr>
              <w:t>Sponsor</w:t>
            </w:r>
          </w:p>
        </w:tc>
        <w:tc>
          <w:tcPr>
            <w:tcW w:type="dxa" w:w="7087"/>
          </w:tcPr>
          <w:p>
            <w:r/>
            <w:r>
              <w:rPr>
                <w:color w:val="4A5D75"/>
                <w:sz w:val="18"/>
              </w:rPr>
              <w:t>[name and address]</w:t>
            </w:r>
          </w:p>
        </w:tc>
      </w:tr>
    </w:tbl>
    <w:p>
      <w:pPr>
        <w:pStyle w:val="Heading2"/>
        <w:spacing w:before="160" w:after="40"/>
      </w:pPr>
      <w:r>
        <w:t>2. Calendar</w:t>
      </w:r>
    </w:p>
    <w:p>
      <w:r>
        <w:rPr>
          <w:i/>
          <w:color w:val="4A5D75"/>
          <w:sz w:val="17"/>
        </w:rPr>
        <w:t>Every later date derives from the DIBD; record it here and never re-derive it from memory (2.2). The DIBD does not move when a new country, indication, formulation or partner starts. Day 60 is a ceiling, not a target.</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DIBD, or IBD if synchronized</w:t>
            </w:r>
          </w:p>
        </w:tc>
        <w:tc>
          <w:tcPr>
            <w:tcW w:type="dxa" w:w="7087"/>
          </w:tcPr>
          <w:p>
            <w:r/>
            <w:r>
              <w:rPr>
                <w:color w:val="4A5D75"/>
                <w:sz w:val="18"/>
              </w:rPr>
              <w:t>[DD Month YYYY]  ☐ DIBD   ☐ IBD (synchronized with the PBRER)</w:t>
            </w:r>
          </w:p>
        </w:tc>
      </w:tr>
      <w:tr>
        <w:tc>
          <w:tcPr>
            <w:tcW w:type="dxa" w:w="3061"/>
            <w:shd w:val="clear" w:color="auto" w:fill="E8EDF4"/>
          </w:tcPr>
          <w:p>
            <w:r/>
            <w:r>
              <w:rPr>
                <w:b/>
                <w:sz w:val="18"/>
              </w:rPr>
              <w:t>Source document for the DIBD or IBD</w:t>
            </w:r>
          </w:p>
        </w:tc>
        <w:tc>
          <w:tcPr>
            <w:tcW w:type="dxa" w:w="7087"/>
          </w:tcPr>
          <w:p>
            <w:r/>
            <w:r>
              <w:rPr>
                <w:color w:val="4A5D75"/>
                <w:sz w:val="18"/>
              </w:rPr>
              <w:t>[e.g. first clinical trial authorization, country, reference and date]</w:t>
            </w:r>
          </w:p>
        </w:tc>
      </w:tr>
      <w:tr>
        <w:tc>
          <w:tcPr>
            <w:tcW w:type="dxa" w:w="3061"/>
            <w:shd w:val="clear" w:color="auto" w:fill="E8EDF4"/>
          </w:tcPr>
          <w:p>
            <w:r/>
            <w:r>
              <w:rPr>
                <w:b/>
                <w:sz w:val="18"/>
              </w:rPr>
              <w:t>Reporting period</w:t>
            </w:r>
          </w:p>
        </w:tc>
        <w:tc>
          <w:tcPr>
            <w:tcW w:type="dxa" w:w="7087"/>
          </w:tcPr>
          <w:p>
            <w:r/>
            <w:r>
              <w:rPr>
                <w:color w:val="4A5D75"/>
                <w:sz w:val="18"/>
              </w:rPr>
              <w:t>[DD Month YYYY] to [DD Month YYYY]</w:t>
            </w:r>
          </w:p>
        </w:tc>
      </w:tr>
      <w:tr>
        <w:tc>
          <w:tcPr>
            <w:tcW w:type="dxa" w:w="3061"/>
            <w:shd w:val="clear" w:color="auto" w:fill="E8EDF4"/>
          </w:tcPr>
          <w:p>
            <w:r/>
            <w:r>
              <w:rPr>
                <w:b/>
                <w:sz w:val="18"/>
              </w:rPr>
              <w:t>Data lock point</w:t>
            </w:r>
          </w:p>
        </w:tc>
        <w:tc>
          <w:tcPr>
            <w:tcW w:type="dxa" w:w="7087"/>
          </w:tcPr>
          <w:p>
            <w:r/>
            <w:r>
              <w:rPr>
                <w:color w:val="4A5D75"/>
                <w:sz w:val="18"/>
              </w:rPr>
              <w:t>[DD Month YYYY]</w:t>
            </w:r>
          </w:p>
        </w:tc>
      </w:tr>
      <w:tr>
        <w:tc>
          <w:tcPr>
            <w:tcW w:type="dxa" w:w="3061"/>
            <w:shd w:val="clear" w:color="auto" w:fill="E8EDF4"/>
          </w:tcPr>
          <w:p>
            <w:r/>
            <w:r>
              <w:rPr>
                <w:b/>
                <w:sz w:val="18"/>
              </w:rPr>
              <w:t>Submission deadline</w:t>
            </w:r>
          </w:p>
        </w:tc>
        <w:tc>
          <w:tcPr>
            <w:tcW w:type="dxa" w:w="7087"/>
          </w:tcPr>
          <w:p>
            <w:r/>
            <w:r>
              <w:rPr>
                <w:color w:val="4A5D75"/>
                <w:sz w:val="18"/>
              </w:rPr>
              <w:t>[DD Month YYYY] (60 calendar days after the data lock point; earlier if a regional deadline is earlier, Chapter 14)</w:t>
            </w:r>
          </w:p>
        </w:tc>
      </w:tr>
    </w:tbl>
    <w:p>
      <w:pPr>
        <w:pStyle w:val="Heading2"/>
        <w:spacing w:before="160" w:after="40"/>
      </w:pPr>
      <w:r>
        <w:t>3. One DSUR or several</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Decision</w:t>
            </w:r>
          </w:p>
        </w:tc>
        <w:tc>
          <w:tcPr>
            <w:tcW w:type="dxa" w:w="7087"/>
          </w:tcPr>
          <w:p>
            <w:r/>
            <w:r>
              <w:rPr>
                <w:sz w:val="18"/>
              </w:rPr>
              <w:t>☐ One DSUR for the active substance   ☐ More than one DSUR</w:t>
            </w:r>
          </w:p>
        </w:tc>
      </w:tr>
      <w:tr>
        <w:tc>
          <w:tcPr>
            <w:tcW w:type="dxa" w:w="3061"/>
            <w:shd w:val="clear" w:color="auto" w:fill="E8EDF4"/>
          </w:tcPr>
          <w:p>
            <w:r/>
            <w:r>
              <w:rPr>
                <w:b/>
                <w:sz w:val="18"/>
              </w:rPr>
              <w:t>Rationale</w:t>
            </w:r>
          </w:p>
        </w:tc>
        <w:tc>
          <w:tcPr>
            <w:tcW w:type="dxa" w:w="7087"/>
          </w:tcPr>
          <w:p>
            <w:r/>
            <w:r>
              <w:rPr>
                <w:color w:val="4A5D75"/>
                <w:sz w:val="18"/>
              </w:rPr>
              <w:t>[why; Section 1 must state it (2.3)]</w:t>
            </w:r>
          </w:p>
        </w:tc>
      </w:tr>
      <w:tr>
        <w:tc>
          <w:tcPr>
            <w:tcW w:type="dxa" w:w="3061"/>
            <w:shd w:val="clear" w:color="auto" w:fill="E8EDF4"/>
          </w:tcPr>
          <w:p>
            <w:r/>
            <w:r>
              <w:rPr>
                <w:b/>
                <w:sz w:val="18"/>
              </w:rPr>
              <w:t>Other DSURs for the substance</w:t>
            </w:r>
          </w:p>
        </w:tc>
        <w:tc>
          <w:tcPr>
            <w:tcW w:type="dxa" w:w="7087"/>
          </w:tcPr>
          <w:p>
            <w:r/>
            <w:r>
              <w:rPr>
                <w:color w:val="4A5D75"/>
                <w:sz w:val="18"/>
              </w:rPr>
              <w:t>[name each: sponsor, scope (indication, formulation or region), period; summarized in Section 14]</w:t>
            </w:r>
          </w:p>
        </w:tc>
      </w:tr>
    </w:tbl>
    <w:p>
      <w:pPr>
        <w:pStyle w:val="Heading2"/>
        <w:spacing w:before="160" w:after="40"/>
      </w:pPr>
      <w:r>
        <w:t>4. Combination therapy</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Option chosen</w:t>
            </w:r>
          </w:p>
        </w:tc>
        <w:tc>
          <w:tcPr>
            <w:tcW w:type="dxa" w:w="7087"/>
          </w:tcPr>
          <w:p>
            <w:r/>
            <w:r>
              <w:rPr>
                <w:sz w:val="18"/>
              </w:rPr>
              <w:t>☐ Not applicable   ☐ [option from E2F §2.5, as in Figure 2.2]</w:t>
            </w:r>
          </w:p>
        </w:tc>
      </w:tr>
      <w:tr>
        <w:tc>
          <w:tcPr>
            <w:tcW w:type="dxa" w:w="3061"/>
            <w:shd w:val="clear" w:color="auto" w:fill="E8EDF4"/>
          </w:tcPr>
          <w:p>
            <w:r/>
            <w:r>
              <w:rPr>
                <w:b/>
                <w:sz w:val="18"/>
              </w:rPr>
              <w:t>Rationale</w:t>
            </w:r>
          </w:p>
        </w:tc>
        <w:tc>
          <w:tcPr>
            <w:tcW w:type="dxa" w:w="7087"/>
          </w:tcPr>
          <w:p>
            <w:r/>
            <w:r>
              <w:rPr>
                <w:color w:val="4A5D75"/>
                <w:sz w:val="18"/>
              </w:rPr>
              <w:t>[why this option gives regulators the clearest view of the risk; same as last year, or why it changed (2.4)]</w:t>
            </w:r>
          </w:p>
        </w:tc>
      </w:tr>
    </w:tbl>
    <w:p>
      <w:pPr>
        <w:pStyle w:val="Heading2"/>
        <w:spacing w:before="160" w:after="40"/>
      </w:pPr>
      <w:r>
        <w:t>5. Reference safety information for the period</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Document</w:t>
            </w:r>
          </w:p>
        </w:tc>
        <w:tc>
          <w:tcPr>
            <w:tcW w:type="dxa" w:w="7087"/>
          </w:tcPr>
          <w:p>
            <w:r/>
            <w:r>
              <w:rPr>
                <w:color w:val="4A5D75"/>
                <w:sz w:val="18"/>
              </w:rPr>
              <w:t>[Investigator's Brochure / product label; more than one reference if needed, with the trials each governs]</w:t>
            </w:r>
          </w:p>
        </w:tc>
      </w:tr>
      <w:tr>
        <w:tc>
          <w:tcPr>
            <w:tcW w:type="dxa" w:w="3061"/>
            <w:shd w:val="clear" w:color="auto" w:fill="E8EDF4"/>
          </w:tcPr>
          <w:p>
            <w:r/>
            <w:r>
              <w:rPr>
                <w:b/>
                <w:sz w:val="18"/>
              </w:rPr>
              <w:t>Version (edition) and date</w:t>
            </w:r>
          </w:p>
        </w:tc>
        <w:tc>
          <w:tcPr>
            <w:tcW w:type="dxa" w:w="7087"/>
          </w:tcPr>
          <w:p>
            <w:r/>
            <w:r>
              <w:rPr>
                <w:color w:val="4A5D75"/>
                <w:sz w:val="18"/>
              </w:rPr>
              <w:t>[Edition n, DD Month YYYY], in effect at the start of the period (Chapter 4)</w:t>
            </w:r>
          </w:p>
        </w:tc>
      </w:tr>
    </w:tbl>
    <w:p>
      <w:pPr>
        <w:pStyle w:val="Heading2"/>
        <w:spacing w:before="160" w:after="40"/>
      </w:pPr>
      <w:r>
        <w:t>6. Trials and other sources in scope</w:t>
      </w:r>
    </w:p>
    <w:p>
      <w:r>
        <w:rPr>
          <w:i/>
          <w:color w:val="4A5D75"/>
          <w:sz w:val="17"/>
        </w:rPr>
        <w:t>Sort every source into the three groups of 2.5. Name the data owner for each.</w:t>
      </w:r>
    </w:p>
    <w:tbl>
      <w:tblPr>
        <w:tblStyle w:val="TableGrid"/>
        <w:tblW w:type="auto" w:w="0"/>
        <w:tblLayout w:type="fixed"/>
        <w:tblLook w:firstColumn="1" w:firstRow="1" w:lastColumn="0" w:lastRow="0" w:noHBand="0" w:noVBand="1" w:val="04A0"/>
      </w:tblPr>
      <w:tblGrid>
        <w:gridCol w:w="2948"/>
        <w:gridCol w:w="4932"/>
        <w:gridCol w:w="2268"/>
      </w:tblGrid>
      <w:tr>
        <w:trPr>
          <w:tblHeader w:val="true"/>
        </w:trPr>
        <w:tc>
          <w:tcPr>
            <w:tcW w:type="dxa" w:w="2948"/>
            <w:shd w:val="clear" w:color="auto" w:fill="E8EDF4"/>
          </w:tcPr>
          <w:p>
            <w:r/>
            <w:r>
              <w:rPr>
                <w:b/>
                <w:sz w:val="18"/>
              </w:rPr>
              <w:t>Group</w:t>
            </w:r>
          </w:p>
        </w:tc>
        <w:tc>
          <w:tcPr>
            <w:tcW w:type="dxa" w:w="4932"/>
            <w:shd w:val="clear" w:color="auto" w:fill="E8EDF4"/>
          </w:tcPr>
          <w:p>
            <w:r/>
            <w:r>
              <w:rPr>
                <w:b/>
                <w:sz w:val="18"/>
              </w:rPr>
              <w:t>Trial or source</w:t>
            </w:r>
          </w:p>
        </w:tc>
        <w:tc>
          <w:tcPr>
            <w:tcW w:type="dxa" w:w="2268"/>
            <w:shd w:val="clear" w:color="auto" w:fill="E8EDF4"/>
          </w:tcPr>
          <w:p>
            <w:r/>
            <w:r>
              <w:rPr>
                <w:b/>
                <w:sz w:val="18"/>
              </w:rPr>
              <w:t>Data owner</w:t>
            </w:r>
          </w:p>
        </w:tc>
      </w:tr>
      <w:tr>
        <w:tc>
          <w:tcPr>
            <w:tcW w:type="dxa" w:w="2948"/>
          </w:tcPr>
          <w:p>
            <w:r/>
            <w:r>
              <w:rPr>
                <w:sz w:val="18"/>
              </w:rPr>
              <w:t>Always in: sponsor interventional trials, expanded access and compassionate use, trials supporting manufacturing changes</w:t>
            </w:r>
          </w:p>
        </w:tc>
        <w:tc>
          <w:tcPr>
            <w:tcW w:type="dxa" w:w="4932"/>
          </w:tcPr>
          <w:p>
            <w:r/>
            <w:r>
              <w:rPr>
                <w:sz w:val="18"/>
              </w:rPr>
            </w:r>
          </w:p>
        </w:tc>
        <w:tc>
          <w:tcPr>
            <w:tcW w:type="dxa" w:w="2268"/>
          </w:tcPr>
          <w:p>
            <w:r/>
            <w:r>
              <w:rPr>
                <w:sz w:val="18"/>
              </w:rPr>
            </w:r>
          </w:p>
        </w:tc>
      </w:tr>
      <w:tr>
        <w:tc>
          <w:tcPr>
            <w:tcW w:type="dxa" w:w="2948"/>
          </w:tcPr>
          <w:p>
            <w:r/>
            <w:r>
              <w:rPr>
                <w:sz w:val="18"/>
              </w:rPr>
              <w:t>Always in</w:t>
            </w:r>
          </w:p>
        </w:tc>
        <w:tc>
          <w:tcPr>
            <w:tcW w:type="dxa" w:w="4932"/>
          </w:tcPr>
          <w:p>
            <w:r/>
            <w:r>
              <w:rPr>
                <w:sz w:val="18"/>
              </w:rPr>
            </w:r>
          </w:p>
        </w:tc>
        <w:tc>
          <w:tcPr>
            <w:tcW w:type="dxa" w:w="2268"/>
          </w:tcPr>
          <w:p>
            <w:r/>
            <w:r>
              <w:rPr>
                <w:sz w:val="18"/>
              </w:rPr>
            </w:r>
          </w:p>
        </w:tc>
      </w:tr>
      <w:tr>
        <w:tc>
          <w:tcPr>
            <w:tcW w:type="dxa" w:w="2948"/>
          </w:tcPr>
          <w:p>
            <w:r/>
            <w:r>
              <w:rPr>
                <w:sz w:val="18"/>
              </w:rPr>
              <w:t>In if relevant and available in the period: observational studies, partner and investigator-sponsored trials, pooled analyses, nonclinical studies, literature, other DSURs, marketing experience</w:t>
            </w:r>
          </w:p>
        </w:tc>
        <w:tc>
          <w:tcPr>
            <w:tcW w:type="dxa" w:w="4932"/>
          </w:tcPr>
          <w:p>
            <w:r/>
            <w:r>
              <w:rPr>
                <w:sz w:val="18"/>
              </w:rPr>
            </w:r>
          </w:p>
        </w:tc>
        <w:tc>
          <w:tcPr>
            <w:tcW w:type="dxa" w:w="2268"/>
          </w:tcPr>
          <w:p>
            <w:r/>
            <w:r>
              <w:rPr>
                <w:sz w:val="18"/>
              </w:rPr>
            </w:r>
          </w:p>
        </w:tc>
      </w:tr>
      <w:tr>
        <w:tc>
          <w:tcPr>
            <w:tcW w:type="dxa" w:w="2948"/>
          </w:tcPr>
          <w:p>
            <w:r/>
            <w:r>
              <w:rPr>
                <w:sz w:val="18"/>
              </w:rPr>
              <w:t>In if relevant and available</w:t>
            </w:r>
          </w:p>
        </w:tc>
        <w:tc>
          <w:tcPr>
            <w:tcW w:type="dxa" w:w="4932"/>
          </w:tcPr>
          <w:p>
            <w:r/>
            <w:r>
              <w:rPr>
                <w:sz w:val="18"/>
              </w:rPr>
            </w:r>
          </w:p>
        </w:tc>
        <w:tc>
          <w:tcPr>
            <w:tcW w:type="dxa" w:w="2268"/>
          </w:tcPr>
          <w:p>
            <w:r/>
            <w:r>
              <w:rPr>
                <w:sz w:val="18"/>
              </w:rPr>
            </w:r>
          </w:p>
        </w:tc>
      </w:tr>
      <w:tr>
        <w:tc>
          <w:tcPr>
            <w:tcW w:type="dxa" w:w="2948"/>
          </w:tcPr>
          <w:p>
            <w:r/>
            <w:r>
              <w:rPr>
                <w:sz w:val="18"/>
              </w:rPr>
              <w:t>Out, with an explanation: data the sponsor cannot access, protocol-exempt events, events that are efficacy endpoints</w:t>
            </w:r>
          </w:p>
        </w:tc>
        <w:tc>
          <w:tcPr>
            <w:tcW w:type="dxa" w:w="4932"/>
          </w:tcPr>
          <w:p>
            <w:r/>
            <w:r>
              <w:rPr>
                <w:sz w:val="18"/>
              </w:rPr>
            </w:r>
          </w:p>
        </w:tc>
        <w:tc>
          <w:tcPr>
            <w:tcW w:type="dxa" w:w="2268"/>
          </w:tcPr>
          <w:p>
            <w:r/>
            <w:r>
              <w:rPr>
                <w:sz w:val="18"/>
              </w:rPr>
            </w:r>
          </w:p>
        </w:tc>
      </w:tr>
    </w:tbl>
    <w:p>
      <w:pPr>
        <w:pStyle w:val="Heading2"/>
        <w:spacing w:before="160" w:after="40"/>
      </w:pPr>
      <w:r>
        <w:t>7. Known gaps and exclusions</w:t>
      </w:r>
    </w:p>
    <w:p>
      <w:r>
        <w:rPr>
          <w:i/>
          <w:color w:val="4A5D75"/>
          <w:sz w:val="17"/>
        </w:rPr>
        <w:t>An explained gap is not a weakness; an unexplained one is. Give the reason and say what cannot be concluded as a result (2.3, 2.5).</w:t>
      </w:r>
    </w:p>
    <w:tbl>
      <w:tblPr>
        <w:tblStyle w:val="TableGrid"/>
        <w:tblW w:type="auto" w:w="0"/>
        <w:tblLayout w:type="fixed"/>
        <w:tblLook w:firstColumn="1" w:firstRow="1" w:lastColumn="0" w:lastRow="0" w:noHBand="0" w:noVBand="1" w:val="04A0"/>
      </w:tblPr>
      <w:tblGrid>
        <w:gridCol w:w="2608"/>
        <w:gridCol w:w="2608"/>
        <w:gridCol w:w="4932"/>
      </w:tblGrid>
      <w:tr>
        <w:trPr>
          <w:tblHeader w:val="true"/>
        </w:trPr>
        <w:tc>
          <w:tcPr>
            <w:tcW w:type="dxa" w:w="2608"/>
            <w:shd w:val="clear" w:color="auto" w:fill="E8EDF4"/>
          </w:tcPr>
          <w:p>
            <w:r/>
            <w:r>
              <w:rPr>
                <w:b/>
                <w:sz w:val="18"/>
              </w:rPr>
              <w:t>Gap or exclusion</w:t>
            </w:r>
          </w:p>
        </w:tc>
        <w:tc>
          <w:tcPr>
            <w:tcW w:type="dxa" w:w="2608"/>
            <w:shd w:val="clear" w:color="auto" w:fill="E8EDF4"/>
          </w:tcPr>
          <w:p>
            <w:r/>
            <w:r>
              <w:rPr>
                <w:b/>
                <w:sz w:val="18"/>
              </w:rPr>
              <w:t>Reason</w:t>
            </w:r>
          </w:p>
        </w:tc>
        <w:tc>
          <w:tcPr>
            <w:tcW w:type="dxa" w:w="4932"/>
            <w:shd w:val="clear" w:color="auto" w:fill="E8EDF4"/>
          </w:tcPr>
          <w:p>
            <w:r/>
            <w:r>
              <w:rPr>
                <w:b/>
                <w:sz w:val="18"/>
              </w:rPr>
              <w:t>Wording to be used in Section 1</w:t>
            </w:r>
          </w:p>
        </w:tc>
      </w:tr>
      <w:tr>
        <w:tc>
          <w:tcPr>
            <w:tcW w:type="dxa" w:w="2608"/>
          </w:tcPr>
          <w:p>
            <w:r/>
            <w:r>
              <w:rPr>
                <w:sz w:val="18"/>
              </w:rPr>
            </w:r>
          </w:p>
        </w:tc>
        <w:tc>
          <w:tcPr>
            <w:tcW w:type="dxa" w:w="2608"/>
          </w:tcPr>
          <w:p>
            <w:r/>
            <w:r>
              <w:rPr>
                <w:sz w:val="18"/>
              </w:rPr>
            </w:r>
          </w:p>
        </w:tc>
        <w:tc>
          <w:tcPr>
            <w:tcW w:type="dxa" w:w="4932"/>
          </w:tcPr>
          <w:p>
            <w:r/>
            <w:r>
              <w:rPr>
                <w:sz w:val="18"/>
              </w:rPr>
            </w:r>
          </w:p>
        </w:tc>
      </w:tr>
      <w:tr>
        <w:tc>
          <w:tcPr>
            <w:tcW w:type="dxa" w:w="2608"/>
          </w:tcPr>
          <w:p>
            <w:r/>
            <w:r>
              <w:rPr>
                <w:sz w:val="18"/>
              </w:rPr>
            </w:r>
          </w:p>
        </w:tc>
        <w:tc>
          <w:tcPr>
            <w:tcW w:type="dxa" w:w="2608"/>
          </w:tcPr>
          <w:p>
            <w:r/>
            <w:r>
              <w:rPr>
                <w:sz w:val="18"/>
              </w:rPr>
            </w:r>
          </w:p>
        </w:tc>
        <w:tc>
          <w:tcPr>
            <w:tcW w:type="dxa" w:w="4932"/>
          </w:tcPr>
          <w:p>
            <w:r/>
            <w:r>
              <w:rPr>
                <w:sz w:val="18"/>
              </w:rPr>
            </w:r>
          </w:p>
        </w:tc>
      </w:tr>
    </w:tbl>
    <w:p>
      <w:pPr>
        <w:pStyle w:val="Heading2"/>
        <w:spacing w:before="160" w:after="40"/>
      </w:pPr>
      <w:r>
        <w:t>8. Unblinded information</w:t>
      </w:r>
    </w:p>
    <w:p>
      <w:r>
        <w:rPr>
          <w:i/>
          <w:color w:val="4A5D75"/>
          <w:sz w:val="17"/>
        </w:rPr>
        <w:t>Decide at kickoff and record the decision here (2.8). The confidentiality statement protects the sponsor's information; only the distribution list protects a trial's blind.</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Will the report contain unblinded information?</w:t>
            </w:r>
          </w:p>
        </w:tc>
        <w:tc>
          <w:tcPr>
            <w:tcW w:type="dxa" w:w="7087"/>
          </w:tcPr>
          <w:p>
            <w:r/>
            <w:r>
              <w:rPr>
                <w:sz w:val="18"/>
              </w:rPr>
              <w:t>☐ No   ☐ Yes: [source, e.g. cases unblinded for expedited reporting or by a DMC]</w:t>
            </w:r>
          </w:p>
        </w:tc>
      </w:tr>
      <w:tr>
        <w:tc>
          <w:tcPr>
            <w:tcW w:type="dxa" w:w="3061"/>
            <w:shd w:val="clear" w:color="auto" w:fill="E8EDF4"/>
          </w:tcPr>
          <w:p>
            <w:r/>
            <w:r>
              <w:rPr>
                <w:b/>
                <w:sz w:val="18"/>
              </w:rPr>
              <w:t>Title-page caution required</w:t>
            </w:r>
          </w:p>
        </w:tc>
        <w:tc>
          <w:tcPr>
            <w:tcW w:type="dxa" w:w="7087"/>
          </w:tcPr>
          <w:p>
            <w:r/>
            <w:r>
              <w:rPr>
                <w:sz w:val="18"/>
              </w:rPr>
              <w:t>☐ No   ☐ Yes</w:t>
            </w:r>
          </w:p>
        </w:tc>
      </w:tr>
      <w:tr>
        <w:tc>
          <w:tcPr>
            <w:tcW w:type="dxa" w:w="3061"/>
            <w:shd w:val="clear" w:color="auto" w:fill="E8EDF4"/>
          </w:tcPr>
          <w:p>
            <w:r/>
            <w:r>
              <w:rPr>
                <w:b/>
                <w:sz w:val="18"/>
              </w:rPr>
              <w:t>Distribution list for the version with unblinded case-level information</w:t>
            </w:r>
          </w:p>
        </w:tc>
        <w:tc>
          <w:tcPr>
            <w:tcW w:type="dxa" w:w="7087"/>
          </w:tcPr>
          <w:p>
            <w:r/>
            <w:r>
              <w:rPr>
                <w:color w:val="4A5D75"/>
                <w:sz w:val="18"/>
              </w:rPr>
              <w:t>[names or functions; blinded trial team members excluded]</w:t>
            </w:r>
          </w:p>
        </w:tc>
      </w:tr>
      <w:tr>
        <w:tc>
          <w:tcPr>
            <w:tcW w:type="dxa" w:w="3061"/>
            <w:shd w:val="clear" w:color="auto" w:fill="E8EDF4"/>
          </w:tcPr>
          <w:p>
            <w:r/>
            <w:r>
              <w:rPr>
                <w:b/>
                <w:sz w:val="18"/>
              </w:rPr>
              <w:t>Masked version for blinded reviewers</w:t>
            </w:r>
          </w:p>
        </w:tc>
        <w:tc>
          <w:tcPr>
            <w:tcW w:type="dxa" w:w="7087"/>
          </w:tcPr>
          <w:p>
            <w:r/>
            <w:r>
              <w:rPr>
                <w:sz w:val="18"/>
              </w:rPr>
              <w:t>☐ Not needed   ☐ Prepared (two versions exist): [who receives it]</w:t>
            </w:r>
          </w:p>
        </w:tc>
      </w:tr>
    </w:tbl>
    <w:p>
      <w:pPr>
        <w:pStyle w:val="Heading2"/>
        <w:spacing w:before="160" w:after="40"/>
      </w:pPr>
      <w:r>
        <w:t>9. Regions of submission and regional content</w:t>
      </w:r>
    </w:p>
    <w:p>
      <w:r>
        <w:rPr>
          <w:i/>
          <w:color w:val="4A5D75"/>
          <w:sz w:val="17"/>
        </w:rPr>
        <w:t>Record each region's requirements with an owner at kickoff; the timeline is built on the earliest deadline (Chapter 14).</w:t>
      </w:r>
    </w:p>
    <w:tbl>
      <w:tblPr>
        <w:tblStyle w:val="TableGrid"/>
        <w:tblW w:type="auto" w:w="0"/>
        <w:tblLayout w:type="fixed"/>
        <w:tblLook w:firstColumn="1" w:firstRow="1" w:lastColumn="0" w:lastRow="0" w:noHBand="0" w:noVBand="1" w:val="04A0"/>
      </w:tblPr>
      <w:tblGrid>
        <w:gridCol w:w="1701"/>
        <w:gridCol w:w="4706"/>
        <w:gridCol w:w="1871"/>
        <w:gridCol w:w="1871"/>
      </w:tblGrid>
      <w:tr>
        <w:trPr>
          <w:tblHeader w:val="true"/>
        </w:trPr>
        <w:tc>
          <w:tcPr>
            <w:tcW w:type="dxa" w:w="1701"/>
            <w:shd w:val="clear" w:color="auto" w:fill="E8EDF4"/>
          </w:tcPr>
          <w:p>
            <w:r/>
            <w:r>
              <w:rPr>
                <w:b/>
                <w:sz w:val="18"/>
              </w:rPr>
              <w:t>Region</w:t>
            </w:r>
          </w:p>
        </w:tc>
        <w:tc>
          <w:tcPr>
            <w:tcW w:type="dxa" w:w="4706"/>
            <w:shd w:val="clear" w:color="auto" w:fill="E8EDF4"/>
          </w:tcPr>
          <w:p>
            <w:r/>
            <w:r>
              <w:rPr>
                <w:b/>
                <w:sz w:val="18"/>
              </w:rPr>
              <w:t>Regional content required</w:t>
            </w:r>
          </w:p>
        </w:tc>
        <w:tc>
          <w:tcPr>
            <w:tcW w:type="dxa" w:w="1871"/>
            <w:shd w:val="clear" w:color="auto" w:fill="E8EDF4"/>
          </w:tcPr>
          <w:p>
            <w:r/>
            <w:r>
              <w:rPr>
                <w:b/>
                <w:sz w:val="18"/>
              </w:rPr>
              <w:t>Deadline</w:t>
            </w:r>
          </w:p>
        </w:tc>
        <w:tc>
          <w:tcPr>
            <w:tcW w:type="dxa" w:w="1871"/>
            <w:shd w:val="clear" w:color="auto" w:fill="E8EDF4"/>
          </w:tcPr>
          <w:p>
            <w:r/>
            <w:r>
              <w:rPr>
                <w:b/>
                <w:sz w:val="18"/>
              </w:rPr>
              <w:t>Owner</w:t>
            </w:r>
          </w:p>
        </w:tc>
      </w:tr>
      <w:tr>
        <w:tc>
          <w:tcPr>
            <w:tcW w:type="dxa" w:w="1701"/>
          </w:tcPr>
          <w:p>
            <w:r/>
            <w:r>
              <w:rPr>
                <w:sz w:val="18"/>
              </w:rPr>
              <w:t>United States</w:t>
            </w:r>
          </w:p>
        </w:tc>
        <w:tc>
          <w:tcPr>
            <w:tcW w:type="dxa" w:w="4706"/>
          </w:tcPr>
          <w:p>
            <w:r/>
            <w:r>
              <w:rPr>
                <w:sz w:val="18"/>
              </w:rPr>
            </w:r>
          </w:p>
        </w:tc>
        <w:tc>
          <w:tcPr>
            <w:tcW w:type="dxa" w:w="1871"/>
          </w:tcPr>
          <w:p>
            <w:r/>
            <w:r>
              <w:rPr>
                <w:sz w:val="18"/>
              </w:rPr>
            </w:r>
          </w:p>
        </w:tc>
        <w:tc>
          <w:tcPr>
            <w:tcW w:type="dxa" w:w="1871"/>
          </w:tcPr>
          <w:p>
            <w:r/>
            <w:r>
              <w:rPr>
                <w:sz w:val="18"/>
              </w:rPr>
            </w:r>
          </w:p>
        </w:tc>
      </w:tr>
      <w:tr>
        <w:tc>
          <w:tcPr>
            <w:tcW w:type="dxa" w:w="1701"/>
          </w:tcPr>
          <w:p>
            <w:r/>
            <w:r>
              <w:rPr>
                <w:sz w:val="18"/>
              </w:rPr>
              <w:t>European Union</w:t>
            </w:r>
          </w:p>
        </w:tc>
        <w:tc>
          <w:tcPr>
            <w:tcW w:type="dxa" w:w="4706"/>
          </w:tcPr>
          <w:p>
            <w:r/>
            <w:r>
              <w:rPr>
                <w:sz w:val="18"/>
              </w:rPr>
            </w:r>
          </w:p>
        </w:tc>
        <w:tc>
          <w:tcPr>
            <w:tcW w:type="dxa" w:w="1871"/>
          </w:tcPr>
          <w:p>
            <w:r/>
            <w:r>
              <w:rPr>
                <w:sz w:val="18"/>
              </w:rPr>
            </w:r>
          </w:p>
        </w:tc>
        <w:tc>
          <w:tcPr>
            <w:tcW w:type="dxa" w:w="1871"/>
          </w:tcPr>
          <w:p>
            <w:r/>
            <w:r>
              <w:rPr>
                <w:sz w:val="18"/>
              </w:rPr>
            </w:r>
          </w:p>
        </w:tc>
      </w:tr>
      <w:tr>
        <w:tc>
          <w:tcPr>
            <w:tcW w:type="dxa" w:w="1701"/>
          </w:tcPr>
          <w:p>
            <w:r/>
            <w:r>
              <w:rPr>
                <w:sz w:val="18"/>
              </w:rPr>
              <w:t>United Kingdom</w:t>
            </w:r>
          </w:p>
        </w:tc>
        <w:tc>
          <w:tcPr>
            <w:tcW w:type="dxa" w:w="4706"/>
          </w:tcPr>
          <w:p>
            <w:r/>
            <w:r>
              <w:rPr>
                <w:sz w:val="18"/>
              </w:rPr>
            </w:r>
          </w:p>
        </w:tc>
        <w:tc>
          <w:tcPr>
            <w:tcW w:type="dxa" w:w="1871"/>
          </w:tcPr>
          <w:p>
            <w:r/>
            <w:r>
              <w:rPr>
                <w:sz w:val="18"/>
              </w:rPr>
            </w:r>
          </w:p>
        </w:tc>
        <w:tc>
          <w:tcPr>
            <w:tcW w:type="dxa" w:w="1871"/>
          </w:tcPr>
          <w:p>
            <w:r/>
            <w:r>
              <w:rPr>
                <w:sz w:val="18"/>
              </w:rPr>
            </w:r>
          </w:p>
        </w:tc>
      </w:tr>
      <w:tr>
        <w:tc>
          <w:tcPr>
            <w:tcW w:type="dxa" w:w="1701"/>
          </w:tcPr>
          <w:p>
            <w:r/>
            <w:r>
              <w:rPr>
                <w:sz w:val="18"/>
              </w:rPr>
              <w:t>Japan</w:t>
            </w:r>
          </w:p>
        </w:tc>
        <w:tc>
          <w:tcPr>
            <w:tcW w:type="dxa" w:w="4706"/>
          </w:tcPr>
          <w:p>
            <w:r/>
            <w:r>
              <w:rPr>
                <w:sz w:val="18"/>
              </w:rPr>
            </w:r>
          </w:p>
        </w:tc>
        <w:tc>
          <w:tcPr>
            <w:tcW w:type="dxa" w:w="1871"/>
          </w:tcPr>
          <w:p>
            <w:r/>
            <w:r>
              <w:rPr>
                <w:sz w:val="18"/>
              </w:rPr>
            </w:r>
          </w:p>
        </w:tc>
        <w:tc>
          <w:tcPr>
            <w:tcW w:type="dxa" w:w="1871"/>
          </w:tcPr>
          <w:p>
            <w:r/>
            <w:r>
              <w:rPr>
                <w:sz w:val="18"/>
              </w:rPr>
            </w:r>
          </w:p>
        </w:tc>
      </w:tr>
      <w:tr>
        <w:tc>
          <w:tcPr>
            <w:tcW w:type="dxa" w:w="1701"/>
          </w:tcPr>
          <w:p>
            <w:r/>
            <w:r>
              <w:rPr>
                <w:sz w:val="18"/>
              </w:rPr>
              <w:t>China</w:t>
            </w:r>
          </w:p>
        </w:tc>
        <w:tc>
          <w:tcPr>
            <w:tcW w:type="dxa" w:w="4706"/>
          </w:tcPr>
          <w:p>
            <w:r/>
            <w:r>
              <w:rPr>
                <w:sz w:val="18"/>
              </w:rPr>
            </w:r>
          </w:p>
        </w:tc>
        <w:tc>
          <w:tcPr>
            <w:tcW w:type="dxa" w:w="1871"/>
          </w:tcPr>
          <w:p>
            <w:r/>
            <w:r>
              <w:rPr>
                <w:sz w:val="18"/>
              </w:rPr>
            </w:r>
          </w:p>
        </w:tc>
        <w:tc>
          <w:tcPr>
            <w:tcW w:type="dxa" w:w="1871"/>
          </w:tcPr>
          <w:p>
            <w:r/>
            <w:r>
              <w:rPr>
                <w:sz w:val="18"/>
              </w:rPr>
            </w:r>
          </w:p>
        </w:tc>
      </w:tr>
      <w:tr>
        <w:tc>
          <w:tcPr>
            <w:tcW w:type="dxa" w:w="1701"/>
          </w:tcPr>
          <w:p>
            <w:r/>
            <w:r>
              <w:rPr>
                <w:sz w:val="18"/>
              </w:rPr>
              <w:t>Canada</w:t>
            </w:r>
          </w:p>
        </w:tc>
        <w:tc>
          <w:tcPr>
            <w:tcW w:type="dxa" w:w="4706"/>
          </w:tcPr>
          <w:p>
            <w:r/>
            <w:r>
              <w:rPr>
                <w:sz w:val="18"/>
              </w:rPr>
            </w:r>
          </w:p>
        </w:tc>
        <w:tc>
          <w:tcPr>
            <w:tcW w:type="dxa" w:w="1871"/>
          </w:tcPr>
          <w:p>
            <w:r/>
            <w:r>
              <w:rPr>
                <w:sz w:val="18"/>
              </w:rPr>
            </w:r>
          </w:p>
        </w:tc>
        <w:tc>
          <w:tcPr>
            <w:tcW w:type="dxa" w:w="1871"/>
          </w:tcPr>
          <w:p>
            <w:r/>
            <w:r>
              <w:rPr>
                <w:sz w:val="18"/>
              </w:rPr>
            </w:r>
          </w:p>
        </w:tc>
      </w:tr>
    </w:tbl>
    <w:p>
      <w:pPr>
        <w:pStyle w:val="Heading2"/>
        <w:spacing w:before="160" w:after="40"/>
      </w:pPr>
      <w:r>
        <w:t>10. Key milestones</w:t>
      </w:r>
    </w:p>
    <w:p>
      <w:r>
        <w:rPr>
          <w:i/>
          <w:color w:val="4A5D75"/>
          <w:sz w:val="17"/>
        </w:rPr>
        <w:t>Back-plan from the deadline (Chapter 3, Appendix C.1). Day 0 is the data lock point; only the day-60 limit comes from E2F. The timeline back-planner fills in the dates: tools/timeline-back-planner.html.</w:t>
      </w:r>
    </w:p>
    <w:tbl>
      <w:tblPr>
        <w:tblStyle w:val="TableGrid"/>
        <w:tblW w:type="auto" w:w="0"/>
        <w:tblLayout w:type="fixed"/>
        <w:tblLook w:firstColumn="1" w:firstRow="1" w:lastColumn="0" w:lastRow="0" w:noHBand="0" w:noVBand="1" w:val="04A0"/>
      </w:tblPr>
      <w:tblGrid>
        <w:gridCol w:w="3628"/>
        <w:gridCol w:w="907"/>
        <w:gridCol w:w="2835"/>
        <w:gridCol w:w="2778"/>
      </w:tblGrid>
      <w:tr>
        <w:trPr>
          <w:tblHeader w:val="true"/>
        </w:trPr>
        <w:tc>
          <w:tcPr>
            <w:tcW w:type="dxa" w:w="3628"/>
            <w:shd w:val="clear" w:color="auto" w:fill="E8EDF4"/>
          </w:tcPr>
          <w:p>
            <w:r/>
            <w:r>
              <w:rPr>
                <w:b/>
                <w:sz w:val="18"/>
              </w:rPr>
              <w:t>Milestone</w:t>
            </w:r>
          </w:p>
        </w:tc>
        <w:tc>
          <w:tcPr>
            <w:tcW w:type="dxa" w:w="907"/>
            <w:shd w:val="clear" w:color="auto" w:fill="E8EDF4"/>
          </w:tcPr>
          <w:p>
            <w:r/>
            <w:r>
              <w:rPr>
                <w:b/>
                <w:sz w:val="18"/>
              </w:rPr>
              <w:t>Day</w:t>
            </w:r>
          </w:p>
        </w:tc>
        <w:tc>
          <w:tcPr>
            <w:tcW w:type="dxa" w:w="2835"/>
            <w:shd w:val="clear" w:color="auto" w:fill="E8EDF4"/>
          </w:tcPr>
          <w:p>
            <w:r/>
            <w:r>
              <w:rPr>
                <w:b/>
                <w:sz w:val="18"/>
              </w:rPr>
              <w:t>Owner</w:t>
            </w:r>
          </w:p>
        </w:tc>
        <w:tc>
          <w:tcPr>
            <w:tcW w:type="dxa" w:w="2778"/>
            <w:shd w:val="clear" w:color="auto" w:fill="E8EDF4"/>
          </w:tcPr>
          <w:p>
            <w:r/>
            <w:r>
              <w:rPr>
                <w:b/>
                <w:sz w:val="18"/>
              </w:rPr>
              <w:t>Date</w:t>
            </w:r>
          </w:p>
        </w:tc>
      </w:tr>
      <w:tr>
        <w:tc>
          <w:tcPr>
            <w:tcW w:type="dxa" w:w="3628"/>
          </w:tcPr>
          <w:p>
            <w:r/>
            <w:r>
              <w:rPr>
                <w:sz w:val="18"/>
              </w:rPr>
              <w:t>Kickoff and scope record</w:t>
            </w:r>
          </w:p>
        </w:tc>
        <w:tc>
          <w:tcPr>
            <w:tcW w:type="dxa" w:w="907"/>
          </w:tcPr>
          <w:p>
            <w:r/>
            <w:r>
              <w:rPr>
                <w:sz w:val="18"/>
              </w:rPr>
              <w:t>−63</w:t>
            </w:r>
          </w:p>
        </w:tc>
        <w:tc>
          <w:tcPr>
            <w:tcW w:type="dxa" w:w="2835"/>
          </w:tcPr>
          <w:p>
            <w:r/>
            <w:r>
              <w:rPr>
                <w:sz w:val="18"/>
              </w:rPr>
            </w:r>
          </w:p>
        </w:tc>
        <w:tc>
          <w:tcPr>
            <w:tcW w:type="dxa" w:w="2778"/>
          </w:tcPr>
          <w:p>
            <w:r/>
            <w:r>
              <w:rPr>
                <w:sz w:val="18"/>
              </w:rPr>
            </w:r>
          </w:p>
        </w:tc>
      </w:tr>
      <w:tr>
        <w:tc>
          <w:tcPr>
            <w:tcW w:type="dxa" w:w="3628"/>
          </w:tcPr>
          <w:p>
            <w:r/>
            <w:r>
              <w:rPr>
                <w:sz w:val="18"/>
              </w:rPr>
              <w:t>Regional requirements confirmed</w:t>
            </w:r>
          </w:p>
        </w:tc>
        <w:tc>
          <w:tcPr>
            <w:tcW w:type="dxa" w:w="907"/>
          </w:tcPr>
          <w:p>
            <w:r/>
            <w:r>
              <w:rPr>
                <w:sz w:val="18"/>
              </w:rPr>
              <w:t>−56</w:t>
            </w:r>
          </w:p>
        </w:tc>
        <w:tc>
          <w:tcPr>
            <w:tcW w:type="dxa" w:w="2835"/>
          </w:tcPr>
          <w:p>
            <w:r/>
            <w:r>
              <w:rPr>
                <w:sz w:val="18"/>
              </w:rPr>
            </w:r>
          </w:p>
        </w:tc>
        <w:tc>
          <w:tcPr>
            <w:tcW w:type="dxa" w:w="2778"/>
          </w:tcPr>
          <w:p>
            <w:r/>
            <w:r>
              <w:rPr>
                <w:sz w:val="18"/>
              </w:rPr>
            </w:r>
          </w:p>
        </w:tc>
      </w:tr>
      <w:tr>
        <w:tc>
          <w:tcPr>
            <w:tcW w:type="dxa" w:w="3628"/>
          </w:tcPr>
          <w:p>
            <w:r/>
            <w:r>
              <w:rPr>
                <w:sz w:val="18"/>
              </w:rPr>
              <w:t>Output shells agreed</w:t>
            </w:r>
          </w:p>
        </w:tc>
        <w:tc>
          <w:tcPr>
            <w:tcW w:type="dxa" w:w="907"/>
          </w:tcPr>
          <w:p>
            <w:r/>
            <w:r>
              <w:rPr>
                <w:sz w:val="18"/>
              </w:rPr>
              <w:t>−28</w:t>
            </w:r>
          </w:p>
        </w:tc>
        <w:tc>
          <w:tcPr>
            <w:tcW w:type="dxa" w:w="2835"/>
          </w:tcPr>
          <w:p>
            <w:r/>
            <w:r>
              <w:rPr>
                <w:sz w:val="18"/>
              </w:rPr>
            </w:r>
          </w:p>
        </w:tc>
        <w:tc>
          <w:tcPr>
            <w:tcW w:type="dxa" w:w="2778"/>
          </w:tcPr>
          <w:p>
            <w:r/>
            <w:r>
              <w:rPr>
                <w:sz w:val="18"/>
              </w:rPr>
            </w:r>
          </w:p>
        </w:tc>
      </w:tr>
      <w:tr>
        <w:tc>
          <w:tcPr>
            <w:tcW w:type="dxa" w:w="3628"/>
          </w:tcPr>
          <w:p>
            <w:r/>
            <w:r>
              <w:rPr>
                <w:sz w:val="18"/>
              </w:rPr>
              <w:t>Data lock point</w:t>
            </w:r>
          </w:p>
        </w:tc>
        <w:tc>
          <w:tcPr>
            <w:tcW w:type="dxa" w:w="907"/>
          </w:tcPr>
          <w:p>
            <w:r/>
            <w:r>
              <w:rPr>
                <w:sz w:val="18"/>
              </w:rPr>
              <w:t>0</w:t>
            </w:r>
          </w:p>
        </w:tc>
        <w:tc>
          <w:tcPr>
            <w:tcW w:type="dxa" w:w="2835"/>
          </w:tcPr>
          <w:p>
            <w:r/>
            <w:r>
              <w:rPr>
                <w:sz w:val="18"/>
              </w:rPr>
            </w:r>
          </w:p>
        </w:tc>
        <w:tc>
          <w:tcPr>
            <w:tcW w:type="dxa" w:w="2778"/>
          </w:tcPr>
          <w:p>
            <w:r/>
            <w:r>
              <w:rPr>
                <w:sz w:val="18"/>
              </w:rPr>
            </w:r>
          </w:p>
        </w:tc>
      </w:tr>
      <w:tr>
        <w:tc>
          <w:tcPr>
            <w:tcW w:type="dxa" w:w="3628"/>
          </w:tcPr>
          <w:p>
            <w:r/>
            <w:r>
              <w:rPr>
                <w:sz w:val="18"/>
              </w:rPr>
              <w:t>Outputs delivered</w:t>
            </w:r>
          </w:p>
        </w:tc>
        <w:tc>
          <w:tcPr>
            <w:tcW w:type="dxa" w:w="907"/>
          </w:tcPr>
          <w:p>
            <w:r/>
            <w:r>
              <w:rPr>
                <w:sz w:val="18"/>
              </w:rPr>
              <w:t>10</w:t>
            </w:r>
          </w:p>
        </w:tc>
        <w:tc>
          <w:tcPr>
            <w:tcW w:type="dxa" w:w="2835"/>
          </w:tcPr>
          <w:p>
            <w:r/>
            <w:r>
              <w:rPr>
                <w:sz w:val="18"/>
              </w:rPr>
            </w:r>
          </w:p>
        </w:tc>
        <w:tc>
          <w:tcPr>
            <w:tcW w:type="dxa" w:w="2778"/>
          </w:tcPr>
          <w:p>
            <w:r/>
            <w:r>
              <w:rPr>
                <w:sz w:val="18"/>
              </w:rPr>
            </w:r>
          </w:p>
        </w:tc>
      </w:tr>
      <w:tr>
        <w:tc>
          <w:tcPr>
            <w:tcW w:type="dxa" w:w="3628"/>
          </w:tcPr>
          <w:p>
            <w:r/>
            <w:r>
              <w:rPr>
                <w:sz w:val="18"/>
              </w:rPr>
              <w:t>Key messages review</w:t>
            </w:r>
          </w:p>
        </w:tc>
        <w:tc>
          <w:tcPr>
            <w:tcW w:type="dxa" w:w="907"/>
          </w:tcPr>
          <w:p>
            <w:r/>
            <w:r>
              <w:rPr>
                <w:sz w:val="18"/>
              </w:rPr>
              <w:t>12</w:t>
            </w:r>
          </w:p>
        </w:tc>
        <w:tc>
          <w:tcPr>
            <w:tcW w:type="dxa" w:w="2835"/>
          </w:tcPr>
          <w:p>
            <w:r/>
            <w:r>
              <w:rPr>
                <w:sz w:val="18"/>
              </w:rPr>
            </w:r>
          </w:p>
        </w:tc>
        <w:tc>
          <w:tcPr>
            <w:tcW w:type="dxa" w:w="2778"/>
          </w:tcPr>
          <w:p>
            <w:r/>
            <w:r>
              <w:rPr>
                <w:sz w:val="18"/>
              </w:rPr>
            </w:r>
          </w:p>
        </w:tc>
      </w:tr>
      <w:tr>
        <w:tc>
          <w:tcPr>
            <w:tcW w:type="dxa" w:w="3628"/>
          </w:tcPr>
          <w:p>
            <w:r/>
            <w:r>
              <w:rPr>
                <w:sz w:val="18"/>
              </w:rPr>
              <w:t>Draft 1 complete</w:t>
            </w:r>
          </w:p>
        </w:tc>
        <w:tc>
          <w:tcPr>
            <w:tcW w:type="dxa" w:w="907"/>
          </w:tcPr>
          <w:p>
            <w:r/>
            <w:r>
              <w:rPr>
                <w:sz w:val="18"/>
              </w:rPr>
              <w:t>25</w:t>
            </w:r>
          </w:p>
        </w:tc>
        <w:tc>
          <w:tcPr>
            <w:tcW w:type="dxa" w:w="2835"/>
          </w:tcPr>
          <w:p>
            <w:r/>
            <w:r>
              <w:rPr>
                <w:sz w:val="18"/>
              </w:rPr>
            </w:r>
          </w:p>
        </w:tc>
        <w:tc>
          <w:tcPr>
            <w:tcW w:type="dxa" w:w="2778"/>
          </w:tcPr>
          <w:p>
            <w:r/>
            <w:r>
              <w:rPr>
                <w:sz w:val="18"/>
              </w:rPr>
            </w:r>
          </w:p>
        </w:tc>
      </w:tr>
      <w:tr>
        <w:tc>
          <w:tcPr>
            <w:tcW w:type="dxa" w:w="3628"/>
          </w:tcPr>
          <w:p>
            <w:r/>
            <w:r>
              <w:rPr>
                <w:sz w:val="18"/>
              </w:rPr>
              <w:t>Consolidated review closes</w:t>
            </w:r>
          </w:p>
        </w:tc>
        <w:tc>
          <w:tcPr>
            <w:tcW w:type="dxa" w:w="907"/>
          </w:tcPr>
          <w:p>
            <w:r/>
            <w:r>
              <w:rPr>
                <w:sz w:val="18"/>
              </w:rPr>
              <w:t>35</w:t>
            </w:r>
          </w:p>
        </w:tc>
        <w:tc>
          <w:tcPr>
            <w:tcW w:type="dxa" w:w="2835"/>
          </w:tcPr>
          <w:p>
            <w:r/>
            <w:r>
              <w:rPr>
                <w:sz w:val="18"/>
              </w:rPr>
            </w:r>
          </w:p>
        </w:tc>
        <w:tc>
          <w:tcPr>
            <w:tcW w:type="dxa" w:w="2778"/>
          </w:tcPr>
          <w:p>
            <w:r/>
            <w:r>
              <w:rPr>
                <w:sz w:val="18"/>
              </w:rPr>
            </w:r>
          </w:p>
        </w:tc>
      </w:tr>
      <w:tr>
        <w:tc>
          <w:tcPr>
            <w:tcW w:type="dxa" w:w="3628"/>
          </w:tcPr>
          <w:p>
            <w:r/>
            <w:r>
              <w:rPr>
                <w:sz w:val="18"/>
              </w:rPr>
              <w:t>Draft 2 and QC complete</w:t>
            </w:r>
          </w:p>
        </w:tc>
        <w:tc>
          <w:tcPr>
            <w:tcW w:type="dxa" w:w="907"/>
          </w:tcPr>
          <w:p>
            <w:r/>
            <w:r>
              <w:rPr>
                <w:sz w:val="18"/>
              </w:rPr>
              <w:t>45</w:t>
            </w:r>
          </w:p>
        </w:tc>
        <w:tc>
          <w:tcPr>
            <w:tcW w:type="dxa" w:w="2835"/>
          </w:tcPr>
          <w:p>
            <w:r/>
            <w:r>
              <w:rPr>
                <w:sz w:val="18"/>
              </w:rPr>
            </w:r>
          </w:p>
        </w:tc>
        <w:tc>
          <w:tcPr>
            <w:tcW w:type="dxa" w:w="2778"/>
          </w:tcPr>
          <w:p>
            <w:r/>
            <w:r>
              <w:rPr>
                <w:sz w:val="18"/>
              </w:rPr>
            </w:r>
          </w:p>
        </w:tc>
      </w:tr>
      <w:tr>
        <w:tc>
          <w:tcPr>
            <w:tcW w:type="dxa" w:w="3628"/>
          </w:tcPr>
          <w:p>
            <w:r/>
            <w:r>
              <w:rPr>
                <w:sz w:val="18"/>
              </w:rPr>
              <w:t>Sign-off</w:t>
            </w:r>
          </w:p>
        </w:tc>
        <w:tc>
          <w:tcPr>
            <w:tcW w:type="dxa" w:w="907"/>
          </w:tcPr>
          <w:p>
            <w:r/>
            <w:r>
              <w:rPr>
                <w:sz w:val="18"/>
              </w:rPr>
              <w:t>50</w:t>
            </w:r>
          </w:p>
        </w:tc>
        <w:tc>
          <w:tcPr>
            <w:tcW w:type="dxa" w:w="2835"/>
          </w:tcPr>
          <w:p>
            <w:r/>
            <w:r>
              <w:rPr>
                <w:sz w:val="18"/>
              </w:rPr>
            </w:r>
          </w:p>
        </w:tc>
        <w:tc>
          <w:tcPr>
            <w:tcW w:type="dxa" w:w="2778"/>
          </w:tcPr>
          <w:p>
            <w:r/>
            <w:r>
              <w:rPr>
                <w:sz w:val="18"/>
              </w:rPr>
            </w:r>
          </w:p>
        </w:tc>
      </w:tr>
      <w:tr>
        <w:tc>
          <w:tcPr>
            <w:tcW w:type="dxa" w:w="3628"/>
          </w:tcPr>
          <w:p>
            <w:r/>
            <w:r>
              <w:rPr>
                <w:sz w:val="18"/>
              </w:rPr>
              <w:t>Submission deadline</w:t>
            </w:r>
          </w:p>
        </w:tc>
        <w:tc>
          <w:tcPr>
            <w:tcW w:type="dxa" w:w="907"/>
          </w:tcPr>
          <w:p>
            <w:r/>
            <w:r>
              <w:rPr>
                <w:sz w:val="18"/>
              </w:rPr>
              <w:t>60</w:t>
            </w:r>
          </w:p>
        </w:tc>
        <w:tc>
          <w:tcPr>
            <w:tcW w:type="dxa" w:w="2835"/>
          </w:tcPr>
          <w:p>
            <w:r/>
            <w:r>
              <w:rPr>
                <w:sz w:val="18"/>
              </w:rPr>
            </w:r>
          </w:p>
        </w:tc>
        <w:tc>
          <w:tcPr>
            <w:tcW w:type="dxa" w:w="2778"/>
          </w:tcPr>
          <w:p>
            <w:r/>
            <w:r>
              <w:rPr>
                <w:sz w:val="18"/>
              </w:rPr>
            </w:r>
          </w:p>
        </w:tc>
      </w:tr>
    </w:tbl>
    <w:p>
      <w:pPr>
        <w:pStyle w:val="Heading2"/>
        <w:spacing w:before="160" w:after="40"/>
      </w:pPr>
      <w:r>
        <w:t>11. Amendments during the year</w:t>
      </w:r>
    </w:p>
    <w:p>
      <w:r>
        <w:rPr>
          <w:i/>
          <w:color w:val="4A5D75"/>
          <w:sz w:val="17"/>
        </w:rPr>
        <w:t>Amend the record when the change happens, not at the next kickoff; a one-line entry with the date and the decision is enough. Tell regulatory affairs the same day, and write the Section 1 sentence while the reason is fresh (2.7). Record here, too, any decision on a regional requirement that changes mid-cycle (14.6).</w:t>
      </w:r>
    </w:p>
    <w:tbl>
      <w:tblPr>
        <w:tblStyle w:val="TableGrid"/>
        <w:tblW w:type="auto" w:w="0"/>
        <w:tblLayout w:type="fixed"/>
        <w:tblLook w:firstColumn="1" w:firstRow="1" w:lastColumn="0" w:lastRow="0" w:noHBand="0" w:noVBand="1" w:val="04A0"/>
      </w:tblPr>
      <w:tblGrid>
        <w:gridCol w:w="1361"/>
        <w:gridCol w:w="2154"/>
        <w:gridCol w:w="2154"/>
        <w:gridCol w:w="3005"/>
        <w:gridCol w:w="1474"/>
      </w:tblGrid>
      <w:tr>
        <w:trPr>
          <w:tblHeader w:val="true"/>
        </w:trPr>
        <w:tc>
          <w:tcPr>
            <w:tcW w:type="dxa" w:w="1361"/>
            <w:shd w:val="clear" w:color="auto" w:fill="E8EDF4"/>
          </w:tcPr>
          <w:p>
            <w:r/>
            <w:r>
              <w:rPr>
                <w:b/>
                <w:sz w:val="18"/>
              </w:rPr>
              <w:t>Date</w:t>
            </w:r>
          </w:p>
        </w:tc>
        <w:tc>
          <w:tcPr>
            <w:tcW w:type="dxa" w:w="2154"/>
            <w:shd w:val="clear" w:color="auto" w:fill="E8EDF4"/>
          </w:tcPr>
          <w:p>
            <w:r/>
            <w:r>
              <w:rPr>
                <w:b/>
                <w:sz w:val="18"/>
              </w:rPr>
              <w:t>Change</w:t>
            </w:r>
          </w:p>
        </w:tc>
        <w:tc>
          <w:tcPr>
            <w:tcW w:type="dxa" w:w="2154"/>
            <w:shd w:val="clear" w:color="auto" w:fill="E8EDF4"/>
          </w:tcPr>
          <w:p>
            <w:r/>
            <w:r>
              <w:rPr>
                <w:b/>
                <w:sz w:val="18"/>
              </w:rPr>
              <w:t>Decision</w:t>
            </w:r>
          </w:p>
        </w:tc>
        <w:tc>
          <w:tcPr>
            <w:tcW w:type="dxa" w:w="3005"/>
            <w:shd w:val="clear" w:color="auto" w:fill="E8EDF4"/>
          </w:tcPr>
          <w:p>
            <w:r/>
            <w:r>
              <w:rPr>
                <w:b/>
                <w:sz w:val="18"/>
              </w:rPr>
              <w:t>Section 1 sentence</w:t>
            </w:r>
          </w:p>
        </w:tc>
        <w:tc>
          <w:tcPr>
            <w:tcW w:type="dxa" w:w="1474"/>
            <w:shd w:val="clear" w:color="auto" w:fill="E8EDF4"/>
          </w:tcPr>
          <w:p>
            <w:r/>
            <w:r>
              <w:rPr>
                <w:b/>
                <w:sz w:val="18"/>
              </w:rPr>
              <w:t>Regulatory affairs told (date)</w:t>
            </w:r>
          </w:p>
        </w:tc>
      </w:tr>
      <w:tr>
        <w:tc>
          <w:tcPr>
            <w:tcW w:type="dxa" w:w="1361"/>
          </w:tcPr>
          <w:p>
            <w:r/>
            <w:r>
              <w:rPr>
                <w:sz w:val="18"/>
              </w:rPr>
            </w:r>
          </w:p>
        </w:tc>
        <w:tc>
          <w:tcPr>
            <w:tcW w:type="dxa" w:w="2154"/>
          </w:tcPr>
          <w:p>
            <w:r/>
            <w:r>
              <w:rPr>
                <w:sz w:val="18"/>
              </w:rPr>
            </w:r>
          </w:p>
        </w:tc>
        <w:tc>
          <w:tcPr>
            <w:tcW w:type="dxa" w:w="2154"/>
          </w:tcPr>
          <w:p>
            <w:r/>
            <w:r>
              <w:rPr>
                <w:sz w:val="18"/>
              </w:rPr>
            </w:r>
          </w:p>
        </w:tc>
        <w:tc>
          <w:tcPr>
            <w:tcW w:type="dxa" w:w="3005"/>
          </w:tcPr>
          <w:p>
            <w:r/>
            <w:r>
              <w:rPr>
                <w:sz w:val="18"/>
              </w:rPr>
            </w:r>
          </w:p>
        </w:tc>
        <w:tc>
          <w:tcPr>
            <w:tcW w:type="dxa" w:w="1474"/>
          </w:tcPr>
          <w:p>
            <w:r/>
            <w:r>
              <w:rPr>
                <w:sz w:val="18"/>
              </w:rPr>
            </w:r>
          </w:p>
        </w:tc>
      </w:tr>
      <w:tr>
        <w:tc>
          <w:tcPr>
            <w:tcW w:type="dxa" w:w="1361"/>
          </w:tcPr>
          <w:p>
            <w:r/>
            <w:r>
              <w:rPr>
                <w:sz w:val="18"/>
              </w:rPr>
            </w:r>
          </w:p>
        </w:tc>
        <w:tc>
          <w:tcPr>
            <w:tcW w:type="dxa" w:w="2154"/>
          </w:tcPr>
          <w:p>
            <w:r/>
            <w:r>
              <w:rPr>
                <w:sz w:val="18"/>
              </w:rPr>
            </w:r>
          </w:p>
        </w:tc>
        <w:tc>
          <w:tcPr>
            <w:tcW w:type="dxa" w:w="2154"/>
          </w:tcPr>
          <w:p>
            <w:r/>
            <w:r>
              <w:rPr>
                <w:sz w:val="18"/>
              </w:rPr>
            </w:r>
          </w:p>
        </w:tc>
        <w:tc>
          <w:tcPr>
            <w:tcW w:type="dxa" w:w="3005"/>
          </w:tcPr>
          <w:p>
            <w:r/>
            <w:r>
              <w:rPr>
                <w:sz w:val="18"/>
              </w:rPr>
            </w:r>
          </w:p>
        </w:tc>
        <w:tc>
          <w:tcPr>
            <w:tcW w:type="dxa" w:w="1474"/>
          </w:tcPr>
          <w:p>
            <w:r/>
            <w:r>
              <w:rPr>
                <w:sz w:val="18"/>
              </w:rPr>
            </w:r>
          </w:p>
        </w:tc>
      </w:tr>
      <w:tr>
        <w:tc>
          <w:tcPr>
            <w:tcW w:type="dxa" w:w="1361"/>
          </w:tcPr>
          <w:p>
            <w:r/>
            <w:r>
              <w:rPr>
                <w:sz w:val="18"/>
              </w:rPr>
            </w:r>
          </w:p>
        </w:tc>
        <w:tc>
          <w:tcPr>
            <w:tcW w:type="dxa" w:w="2154"/>
          </w:tcPr>
          <w:p>
            <w:r/>
            <w:r>
              <w:rPr>
                <w:sz w:val="18"/>
              </w:rPr>
            </w:r>
          </w:p>
        </w:tc>
        <w:tc>
          <w:tcPr>
            <w:tcW w:type="dxa" w:w="2154"/>
          </w:tcPr>
          <w:p>
            <w:r/>
            <w:r>
              <w:rPr>
                <w:sz w:val="18"/>
              </w:rPr>
            </w:r>
          </w:p>
        </w:tc>
        <w:tc>
          <w:tcPr>
            <w:tcW w:type="dxa" w:w="3005"/>
          </w:tcPr>
          <w:p>
            <w:r/>
            <w:r>
              <w:rPr>
                <w:sz w:val="18"/>
              </w:rPr>
            </w:r>
          </w:p>
        </w:tc>
        <w:tc>
          <w:tcPr>
            <w:tcW w:type="dxa" w:w="1474"/>
          </w:tcPr>
          <w:p>
            <w:r/>
            <w:r>
              <w:rPr>
                <w:sz w:val="18"/>
              </w:rPr>
            </w:r>
          </w:p>
        </w:tc>
      </w:tr>
    </w:tbl>
    <w:p>
      <w:pPr>
        <w:pStyle w:val="Heading2"/>
        <w:spacing w:before="160" w:after="40"/>
      </w:pPr>
      <w:r>
        <w:t>12. Sign-off</w:t>
      </w:r>
    </w:p>
    <w:tbl>
      <w:tblPr>
        <w:tblStyle w:val="TableGrid"/>
        <w:tblW w:type="auto" w:w="0"/>
        <w:tblLayout w:type="fixed"/>
        <w:tblLook w:firstColumn="1" w:firstRow="1" w:lastColumn="0" w:lastRow="0" w:noHBand="0" w:noVBand="1" w:val="04A0"/>
      </w:tblPr>
      <w:tblGrid>
        <w:gridCol w:w="3061"/>
        <w:gridCol w:w="7087"/>
      </w:tblGrid>
      <w:tr>
        <w:tc>
          <w:tcPr>
            <w:tcW w:type="dxa" w:w="3061"/>
            <w:shd w:val="clear" w:color="auto" w:fill="E8EDF4"/>
          </w:tcPr>
          <w:p>
            <w:r/>
            <w:r>
              <w:rPr>
                <w:b/>
                <w:sz w:val="18"/>
              </w:rPr>
              <w:t>Safety physician (owns the scope decision)</w:t>
            </w:r>
          </w:p>
        </w:tc>
        <w:tc>
          <w:tcPr>
            <w:tcW w:type="dxa" w:w="7087"/>
          </w:tcPr>
          <w:p>
            <w:r/>
            <w:r>
              <w:rPr>
                <w:sz w:val="18"/>
              </w:rPr>
              <w:t>Name: [ ]     Signature: [ ]     Date: [ ]</w:t>
            </w:r>
          </w:p>
        </w:tc>
      </w:tr>
      <w:tr>
        <w:tc>
          <w:tcPr>
            <w:tcW w:type="dxa" w:w="3061"/>
            <w:shd w:val="clear" w:color="auto" w:fill="E8EDF4"/>
          </w:tcPr>
          <w:p>
            <w:r/>
            <w:r>
              <w:rPr>
                <w:b/>
                <w:sz w:val="18"/>
              </w:rPr>
              <w:t>Prepared by</w:t>
            </w:r>
          </w:p>
        </w:tc>
        <w:tc>
          <w:tcPr>
            <w:tcW w:type="dxa" w:w="7087"/>
          </w:tcPr>
          <w:p>
            <w:r/>
            <w:r>
              <w:rPr>
                <w:sz w:val="18"/>
              </w:rPr>
              <w:t>Name: [ ]     Function: [ ]     Date: [ ]</w:t>
            </w:r>
          </w:p>
        </w:tc>
      </w:tr>
    </w:tbl>
    <w:p>
      <w:pPr>
        <w:spacing w:before="160"/>
      </w:pPr>
      <w:r>
        <w:rPr>
          <w:i/>
          <w:sz w:val="16"/>
        </w:rPr>
        <w:t>Companion material to Writing the DSUR (Selim Medical Press). Fictional data. Not regulatory advice. CC BY-NC 4.0.</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Companion material to Writing the DSUR (Selim Medical Press). Fictional data. Not regulatory advice. CC BY-NC 4.0.</w:t>
    </w:r>
  </w:p>
  <w:p>
    <w:pPr>
      <w:jc w:val="center"/>
    </w:pP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DSUR scope record (template)</dc:title>
  <dc:subject/>
  <dc:creator>Selim Medical Press</dc:creator>
  <cp:keywords/>
  <dc:description>Companion material to Writing the DSUR (Selim Medical Press). Fictional data. Not regulatory advice. CC BY-NC 4.0.</dc:description>
  <cp:lastModifiedBy/>
  <cp:revision>1</cp:revision>
  <dcterms:created xsi:type="dcterms:W3CDTF">2013-12-23T23:15:00Z</dcterms:created>
  <dcterms:modified xsi:type="dcterms:W3CDTF">2013-12-23T23:15:00Z</dcterms:modified>
  <cp:category/>
</cp:coreProperties>
</file>