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555555"/>
          <w:sz w:val="17"/>
        </w:rPr>
        <w:t>CHAPTER 9 · EXERCISE 1 · EXERCISE MATERIAL</w:t>
      </w:r>
    </w:p>
    <w:p>
      <w:pPr>
        <w:pStyle w:val="Heading1"/>
      </w:pPr>
      <w:r>
        <w:t>VD-201 Clinical Study Report: Summary</w:t>
      </w:r>
    </w:p>
    <w:p>
      <w:r>
        <w:rPr>
          <w:i/>
          <w:color w:val="555555"/>
          <w:sz w:val="19"/>
        </w:rPr>
        <w:t>Reduce this two-page summary of a completed trial to a Section 8.1 paragraph of no more than 150 words for VD-12's DSUR (Case D). Report what the trial found that matters for the safety of people still being exposed, not what the trial did. A model answer is in Appendix E.</w:t>
      </w:r>
    </w:p>
    <w:tbl>
      <w:tblPr>
        <w:tblStyle w:val="TableGrid"/>
        <w:tblW w:type="auto" w:w="0"/>
        <w:jc w:val="center"/>
        <w:tblLayout w:type="fixed"/>
        <w:tblLook w:firstColumn="1" w:firstRow="1" w:lastColumn="0" w:lastRow="0" w:noHBand="0" w:noVBand="1" w:val="04A0"/>
        <w:tblLayout w:type="fixed"/>
      </w:tblPr>
      <w:tblGrid>
        <w:gridCol w:w="1928"/>
        <w:gridCol w:w="8044"/>
      </w:tblGrid>
      <w:tr>
        <w:trPr>
          <w:tblHeader w:val="true"/>
          <w:cantSplit w:val="true"/>
        </w:trPr>
        <w:tc>
          <w:tcPr>
            <w:tcW w:type="dxa" w:w="1928"/>
            <w:shd w:val="clear" w:color="auto" w:fill="E8EDF4"/>
          </w:tcPr>
          <w:p>
            <w:pPr>
              <w:spacing w:after="20" w:line="240" w:lineRule="auto"/>
            </w:pPr>
            <w:r/>
            <w:r>
              <w:rPr>
                <w:b/>
                <w:i w:val="0"/>
                <w:sz w:val="19"/>
              </w:rPr>
              <w:t>Field</w:t>
            </w:r>
          </w:p>
        </w:tc>
        <w:tc>
          <w:tcPr>
            <w:tcW w:type="dxa" w:w="8044"/>
            <w:shd w:val="clear" w:color="auto" w:fill="E8EDF4"/>
          </w:tcPr>
          <w:p>
            <w:pPr>
              <w:spacing w:after="20" w:line="240" w:lineRule="auto"/>
            </w:pPr>
            <w:r/>
            <w:r>
              <w:rPr>
                <w:b/>
                <w:i w:val="0"/>
                <w:sz w:val="19"/>
              </w:rPr>
              <w:t>Detail</w:t>
            </w:r>
          </w:p>
        </w:tc>
      </w:tr>
      <w:tr>
        <w:trPr>
          <w:cantSplit w:val="true"/>
        </w:trPr>
        <w:tc>
          <w:tcPr>
            <w:tcW w:type="dxa" w:w="1928"/>
          </w:tcPr>
          <w:p>
            <w:pPr>
              <w:spacing w:after="20" w:line="240" w:lineRule="auto"/>
            </w:pPr>
            <w:r/>
            <w:r>
              <w:rPr>
                <w:b/>
                <w:i w:val="0"/>
                <w:sz w:val="18"/>
              </w:rPr>
              <w:t>Title</w:t>
            </w:r>
          </w:p>
        </w:tc>
        <w:tc>
          <w:tcPr>
            <w:tcW w:type="dxa" w:w="8044"/>
          </w:tcPr>
          <w:p>
            <w:pPr>
              <w:spacing w:after="20" w:line="240" w:lineRule="auto"/>
            </w:pPr>
            <w:r/>
            <w:r>
              <w:rPr>
                <w:b w:val="0"/>
                <w:i w:val="0"/>
                <w:sz w:val="18"/>
              </w:rPr>
              <w:t>A Phase 2, randomized, observer-blind, placebo-controlled, dose-ranging study of the safety, reactogenicity and immunogenicity of two dose levels of VD-12 in healthy adults aged 18 to 64 years</w:t>
            </w:r>
          </w:p>
        </w:tc>
      </w:tr>
      <w:tr>
        <w:trPr>
          <w:cantSplit w:val="true"/>
        </w:trPr>
        <w:tc>
          <w:tcPr>
            <w:tcW w:type="dxa" w:w="1928"/>
          </w:tcPr>
          <w:p>
            <w:pPr>
              <w:spacing w:after="20" w:line="240" w:lineRule="auto"/>
            </w:pPr>
            <w:r/>
            <w:r>
              <w:rPr>
                <w:b/>
                <w:i w:val="0"/>
                <w:sz w:val="18"/>
              </w:rPr>
              <w:t>Protocol, phase</w:t>
            </w:r>
          </w:p>
        </w:tc>
        <w:tc>
          <w:tcPr>
            <w:tcW w:type="dxa" w:w="8044"/>
          </w:tcPr>
          <w:p>
            <w:pPr>
              <w:spacing w:after="20" w:line="240" w:lineRule="auto"/>
            </w:pPr>
            <w:r/>
            <w:r>
              <w:rPr>
                <w:b w:val="0"/>
                <w:i w:val="0"/>
                <w:sz w:val="18"/>
              </w:rPr>
              <w:t>VD-201, Phase 2</w:t>
            </w:r>
          </w:p>
        </w:tc>
      </w:tr>
      <w:tr>
        <w:trPr>
          <w:cantSplit w:val="true"/>
        </w:trPr>
        <w:tc>
          <w:tcPr>
            <w:tcW w:type="dxa" w:w="1928"/>
          </w:tcPr>
          <w:p>
            <w:pPr>
              <w:spacing w:after="20" w:line="240" w:lineRule="auto"/>
            </w:pPr>
            <w:r/>
            <w:r>
              <w:rPr>
                <w:b/>
                <w:i w:val="0"/>
                <w:sz w:val="18"/>
              </w:rPr>
              <w:t>Product</w:t>
            </w:r>
          </w:p>
        </w:tc>
        <w:tc>
          <w:tcPr>
            <w:tcW w:type="dxa" w:w="8044"/>
          </w:tcPr>
          <w:p>
            <w:pPr>
              <w:spacing w:after="20" w:line="240" w:lineRule="auto"/>
            </w:pPr>
            <w:r/>
            <w:r>
              <w:rPr>
                <w:b w:val="0"/>
                <w:i w:val="0"/>
                <w:sz w:val="18"/>
              </w:rPr>
              <w:t>VD-12, adjuvanted vaccine against [target disease], 0.5 mL intramuscular injection. Low dose (10 µg antigen) or high dose (30 µg antigen), each with the same adjuvant; placebo: saline</w:t>
            </w:r>
          </w:p>
        </w:tc>
      </w:tr>
      <w:tr>
        <w:trPr>
          <w:cantSplit w:val="true"/>
        </w:trPr>
        <w:tc>
          <w:tcPr>
            <w:tcW w:type="dxa" w:w="1928"/>
          </w:tcPr>
          <w:p>
            <w:pPr>
              <w:spacing w:after="20" w:line="240" w:lineRule="auto"/>
            </w:pPr>
            <w:r/>
            <w:r>
              <w:rPr>
                <w:b/>
                <w:i w:val="0"/>
                <w:sz w:val="18"/>
              </w:rPr>
              <w:t>Schedule</w:t>
            </w:r>
          </w:p>
        </w:tc>
        <w:tc>
          <w:tcPr>
            <w:tcW w:type="dxa" w:w="8044"/>
          </w:tcPr>
          <w:p>
            <w:pPr>
              <w:spacing w:after="20" w:line="240" w:lineRule="auto"/>
            </w:pPr>
            <w:r/>
            <w:r>
              <w:rPr>
                <w:b w:val="0"/>
                <w:i w:val="0"/>
                <w:sz w:val="18"/>
              </w:rPr>
              <w:t>Two doses, Day 1 and Day 29; follow-up to Day 209 (six months after dose 2)</w:t>
            </w:r>
          </w:p>
        </w:tc>
      </w:tr>
      <w:tr>
        <w:trPr>
          <w:cantSplit w:val="true"/>
        </w:trPr>
        <w:tc>
          <w:tcPr>
            <w:tcW w:type="dxa" w:w="1928"/>
          </w:tcPr>
          <w:p>
            <w:pPr>
              <w:spacing w:after="20" w:line="240" w:lineRule="auto"/>
            </w:pPr>
            <w:r/>
            <w:r>
              <w:rPr>
                <w:b/>
                <w:i w:val="0"/>
                <w:sz w:val="18"/>
              </w:rPr>
              <w:t>Sites</w:t>
            </w:r>
          </w:p>
        </w:tc>
        <w:tc>
          <w:tcPr>
            <w:tcW w:type="dxa" w:w="8044"/>
          </w:tcPr>
          <w:p>
            <w:pPr>
              <w:spacing w:after="20" w:line="240" w:lineRule="auto"/>
            </w:pPr>
            <w:r/>
            <w:r>
              <w:rPr>
                <w:b w:val="0"/>
                <w:i w:val="0"/>
                <w:sz w:val="18"/>
              </w:rPr>
              <w:t>14 sites in the United States</w:t>
            </w:r>
          </w:p>
        </w:tc>
      </w:tr>
      <w:tr>
        <w:trPr>
          <w:cantSplit w:val="true"/>
        </w:trPr>
        <w:tc>
          <w:tcPr>
            <w:tcW w:type="dxa" w:w="1928"/>
          </w:tcPr>
          <w:p>
            <w:pPr>
              <w:spacing w:after="20" w:line="240" w:lineRule="auto"/>
            </w:pPr>
            <w:r/>
            <w:r>
              <w:rPr>
                <w:b/>
                <w:i w:val="0"/>
                <w:sz w:val="18"/>
              </w:rPr>
              <w:t>Study dates</w:t>
            </w:r>
          </w:p>
        </w:tc>
        <w:tc>
          <w:tcPr>
            <w:tcW w:type="dxa" w:w="8044"/>
          </w:tcPr>
          <w:p>
            <w:pPr>
              <w:spacing w:after="20" w:line="240" w:lineRule="auto"/>
            </w:pPr>
            <w:r/>
            <w:r>
              <w:rPr>
                <w:b w:val="0"/>
                <w:i w:val="0"/>
                <w:sz w:val="18"/>
              </w:rPr>
              <w:t>First subject enrolled 23 January 2023; last subject's last visit 26 October 2023</w:t>
            </w:r>
          </w:p>
        </w:tc>
      </w:tr>
      <w:tr>
        <w:trPr>
          <w:cantSplit w:val="true"/>
        </w:trPr>
        <w:tc>
          <w:tcPr>
            <w:tcW w:type="dxa" w:w="1928"/>
          </w:tcPr>
          <w:p>
            <w:pPr>
              <w:spacing w:after="20" w:line="240" w:lineRule="auto"/>
            </w:pPr>
            <w:r/>
            <w:r>
              <w:rPr>
                <w:b/>
                <w:i w:val="0"/>
                <w:sz w:val="18"/>
              </w:rPr>
              <w:t>Report status</w:t>
            </w:r>
          </w:p>
        </w:tc>
        <w:tc>
          <w:tcPr>
            <w:tcW w:type="dxa" w:w="8044"/>
          </w:tcPr>
          <w:p>
            <w:pPr>
              <w:spacing w:after="20" w:line="240" w:lineRule="auto"/>
            </w:pPr>
            <w:r/>
            <w:r>
              <w:rPr>
                <w:b w:val="0"/>
                <w:i w:val="0"/>
                <w:sz w:val="18"/>
              </w:rPr>
              <w:t>Final clinical study report, version 1.0, dated 15 March 2024</w:t>
            </w:r>
          </w:p>
        </w:tc>
      </w:tr>
      <w:tr>
        <w:trPr>
          <w:cantSplit w:val="true"/>
        </w:trPr>
        <w:tc>
          <w:tcPr>
            <w:tcW w:type="dxa" w:w="1928"/>
          </w:tcPr>
          <w:p>
            <w:pPr>
              <w:spacing w:after="20" w:line="240" w:lineRule="auto"/>
            </w:pPr>
            <w:r/>
            <w:r>
              <w:rPr>
                <w:b/>
                <w:i w:val="0"/>
                <w:sz w:val="18"/>
              </w:rPr>
              <w:t>Objectives</w:t>
            </w:r>
          </w:p>
        </w:tc>
        <w:tc>
          <w:tcPr>
            <w:tcW w:type="dxa" w:w="8044"/>
          </w:tcPr>
          <w:p>
            <w:pPr>
              <w:spacing w:after="20" w:line="240" w:lineRule="auto"/>
            </w:pPr>
            <w:r/>
            <w:r>
              <w:rPr>
                <w:b w:val="0"/>
                <w:i w:val="0"/>
                <w:sz w:val="18"/>
              </w:rPr>
              <w:t>Primary: solicited local and systemic reactions within 7 days after each dose; adverse events through Day 209; seroresponse and neutralizing antibody geometric mean titer (GMT) at Day 57. Secondary: unsolicited adverse events within 28 days after each dose; antibody persistence at Day 209</w:t>
            </w:r>
          </w:p>
        </w:tc>
      </w:tr>
      <w:tr>
        <w:trPr>
          <w:cantSplit w:val="true"/>
        </w:trPr>
        <w:tc>
          <w:tcPr>
            <w:tcW w:type="dxa" w:w="1928"/>
          </w:tcPr>
          <w:p>
            <w:pPr>
              <w:spacing w:after="20" w:line="240" w:lineRule="auto"/>
            </w:pPr>
            <w:r/>
            <w:r>
              <w:rPr>
                <w:b/>
                <w:i w:val="0"/>
                <w:sz w:val="18"/>
              </w:rPr>
              <w:t>Population</w:t>
            </w:r>
          </w:p>
        </w:tc>
        <w:tc>
          <w:tcPr>
            <w:tcW w:type="dxa" w:w="8044"/>
          </w:tcPr>
          <w:p>
            <w:pPr>
              <w:spacing w:after="20" w:line="240" w:lineRule="auto"/>
            </w:pPr>
            <w:r/>
            <w:r>
              <w:rPr>
                <w:b w:val="0"/>
                <w:i w:val="0"/>
                <w:sz w:val="18"/>
              </w:rPr>
              <w:t>Healthy adults aged 18 to 64 years with no previous [target disease] vaccination and no immunosuppressive condition or treatment</w:t>
            </w:r>
          </w:p>
        </w:tc>
      </w:tr>
    </w:tbl>
    <w:p>
      <w:pPr>
        <w:spacing w:after="40"/>
      </w:pPr>
    </w:p>
    <w:p>
      <w:pPr>
        <w:pStyle w:val="Heading2"/>
      </w:pPr>
      <w:r>
        <w:t>1. Disposition and demographics</w:t>
      </w:r>
    </w:p>
    <w:p>
      <w:r>
        <w:rPr>
          <w:i w:val="0"/>
        </w:rPr>
        <w:t>Of 742 adults screened, 600 were randomized 3:3:2 and vaccinated: 225 low dose, 225 high dose and 150 placebo. Dose 2 was given to 588 subjects (220, 219 and 149). The 12 who did not receive dose 2 withdrew consent (6), were lost to follow-up (3), had an adverse event (2) or relocated (1). In all, 571 subjects (95.2%) completed the Day 209 visit. Thirty-eight subjects had a major protocol deviation, mostly visits outside the window; 19 were excluded from the per-protocol immunogenicity set.</w:t>
      </w:r>
    </w:p>
    <w:p>
      <w:r>
        <w:rPr>
          <w:i w:val="0"/>
        </w:rPr>
        <w:t>Median age was 41 years (range 18 to 64); 325 subjects (54.2%) were women. 68.0% were White, 16.8% Black or African American, 9.2% Asian and 6.0% of other or multiple races; 21.3% were Hispanic or Latino. Median body mass index was 27.4 kg/m². The groups were balanced at baseline.</w:t>
      </w:r>
    </w:p>
    <w:p>
      <w:pPr>
        <w:pStyle w:val="Heading2"/>
      </w:pPr>
      <w:r>
        <w:t>2. Immunogenicity</w:t>
      </w:r>
    </w:p>
    <w:tbl>
      <w:tblPr>
        <w:tblStyle w:val="TableGrid"/>
        <w:tblW w:type="auto" w:w="0"/>
        <w:jc w:val="center"/>
        <w:tblLayout w:type="fixed"/>
        <w:tblLook w:firstColumn="1" w:firstRow="1" w:lastColumn="0" w:lastRow="0" w:noHBand="0" w:noVBand="1" w:val="04A0"/>
        <w:tblLayout w:type="fixed"/>
      </w:tblPr>
      <w:tblGrid>
        <w:gridCol w:w="3742"/>
        <w:gridCol w:w="2077"/>
        <w:gridCol w:w="2077"/>
        <w:gridCol w:w="2077"/>
      </w:tblGrid>
      <w:tr>
        <w:trPr>
          <w:tblHeader w:val="true"/>
          <w:cantSplit w:val="true"/>
        </w:trPr>
        <w:tc>
          <w:tcPr>
            <w:tcW w:type="dxa" w:w="3742"/>
            <w:shd w:val="clear" w:color="auto" w:fill="E8EDF4"/>
          </w:tcPr>
          <w:p>
            <w:pPr>
              <w:spacing w:after="20" w:line="240" w:lineRule="auto"/>
            </w:pPr>
            <w:r/>
            <w:r>
              <w:rPr>
                <w:b/>
                <w:i w:val="0"/>
                <w:sz w:val="19"/>
              </w:rPr>
              <w:t>Day 57, per-protocol set</w:t>
            </w:r>
          </w:p>
        </w:tc>
        <w:tc>
          <w:tcPr>
            <w:tcW w:type="dxa" w:w="2077"/>
            <w:shd w:val="clear" w:color="auto" w:fill="E8EDF4"/>
          </w:tcPr>
          <w:p>
            <w:pPr>
              <w:spacing w:after="20" w:line="240" w:lineRule="auto"/>
            </w:pPr>
            <w:r/>
            <w:r>
              <w:rPr>
                <w:b/>
                <w:i w:val="0"/>
                <w:sz w:val="19"/>
              </w:rPr>
              <w:t>Low dose</w:t>
            </w:r>
          </w:p>
        </w:tc>
        <w:tc>
          <w:tcPr>
            <w:tcW w:type="dxa" w:w="2077"/>
            <w:shd w:val="clear" w:color="auto" w:fill="E8EDF4"/>
          </w:tcPr>
          <w:p>
            <w:pPr>
              <w:spacing w:after="20" w:line="240" w:lineRule="auto"/>
            </w:pPr>
            <w:r/>
            <w:r>
              <w:rPr>
                <w:b/>
                <w:i w:val="0"/>
                <w:sz w:val="19"/>
              </w:rPr>
              <w:t>High dose</w:t>
            </w:r>
          </w:p>
        </w:tc>
        <w:tc>
          <w:tcPr>
            <w:tcW w:type="dxa" w:w="2077"/>
            <w:shd w:val="clear" w:color="auto" w:fill="E8EDF4"/>
          </w:tcPr>
          <w:p>
            <w:pPr>
              <w:spacing w:after="20" w:line="240" w:lineRule="auto"/>
            </w:pPr>
            <w:r/>
            <w:r>
              <w:rPr>
                <w:b/>
                <w:i w:val="0"/>
                <w:sz w:val="19"/>
              </w:rPr>
              <w:t>Placebo</w:t>
            </w:r>
          </w:p>
        </w:tc>
      </w:tr>
      <w:tr>
        <w:trPr>
          <w:cantSplit w:val="true"/>
        </w:trPr>
        <w:tc>
          <w:tcPr>
            <w:tcW w:type="dxa" w:w="3742"/>
          </w:tcPr>
          <w:p>
            <w:pPr>
              <w:spacing w:after="20" w:line="240" w:lineRule="auto"/>
            </w:pPr>
            <w:r/>
            <w:r>
              <w:rPr>
                <w:b w:val="0"/>
                <w:i w:val="0"/>
                <w:sz w:val="18"/>
              </w:rPr>
              <w:t>Seroresponse, n/N (%)</w:t>
            </w:r>
          </w:p>
        </w:tc>
        <w:tc>
          <w:tcPr>
            <w:tcW w:type="dxa" w:w="2077"/>
          </w:tcPr>
          <w:p>
            <w:pPr>
              <w:spacing w:after="20" w:line="240" w:lineRule="auto"/>
              <w:jc w:val="center"/>
            </w:pPr>
            <w:r/>
            <w:r>
              <w:rPr>
                <w:b w:val="0"/>
                <w:i w:val="0"/>
                <w:sz w:val="18"/>
              </w:rPr>
              <w:t>204/217 (94.0%)</w:t>
            </w:r>
          </w:p>
        </w:tc>
        <w:tc>
          <w:tcPr>
            <w:tcW w:type="dxa" w:w="2077"/>
          </w:tcPr>
          <w:p>
            <w:pPr>
              <w:spacing w:after="20" w:line="240" w:lineRule="auto"/>
              <w:jc w:val="center"/>
            </w:pPr>
            <w:r/>
            <w:r>
              <w:rPr>
                <w:b w:val="0"/>
                <w:i w:val="0"/>
                <w:sz w:val="18"/>
              </w:rPr>
              <w:t>209/218 (95.9%)</w:t>
            </w:r>
          </w:p>
        </w:tc>
        <w:tc>
          <w:tcPr>
            <w:tcW w:type="dxa" w:w="2077"/>
          </w:tcPr>
          <w:p>
            <w:pPr>
              <w:spacing w:after="20" w:line="240" w:lineRule="auto"/>
              <w:jc w:val="center"/>
            </w:pPr>
            <w:r/>
            <w:r>
              <w:rPr>
                <w:b w:val="0"/>
                <w:i w:val="0"/>
                <w:sz w:val="18"/>
              </w:rPr>
              <w:t>3/146 (2.1%)</w:t>
            </w:r>
          </w:p>
        </w:tc>
      </w:tr>
      <w:tr>
        <w:trPr>
          <w:cantSplit w:val="true"/>
        </w:trPr>
        <w:tc>
          <w:tcPr>
            <w:tcW w:type="dxa" w:w="3742"/>
          </w:tcPr>
          <w:p>
            <w:pPr>
              <w:spacing w:after="20" w:line="240" w:lineRule="auto"/>
            </w:pPr>
            <w:r/>
            <w:r>
              <w:rPr>
                <w:b w:val="0"/>
                <w:i w:val="0"/>
                <w:sz w:val="18"/>
              </w:rPr>
              <w:t>Neutralizing antibody GMT</w:t>
            </w:r>
          </w:p>
        </w:tc>
        <w:tc>
          <w:tcPr>
            <w:tcW w:type="dxa" w:w="2077"/>
          </w:tcPr>
          <w:p>
            <w:pPr>
              <w:spacing w:after="20" w:line="240" w:lineRule="auto"/>
              <w:jc w:val="center"/>
            </w:pPr>
            <w:r/>
            <w:r>
              <w:rPr>
                <w:b w:val="0"/>
                <w:i w:val="0"/>
                <w:sz w:val="18"/>
              </w:rPr>
              <w:t>1,184</w:t>
            </w:r>
          </w:p>
        </w:tc>
        <w:tc>
          <w:tcPr>
            <w:tcW w:type="dxa" w:w="2077"/>
          </w:tcPr>
          <w:p>
            <w:pPr>
              <w:spacing w:after="20" w:line="240" w:lineRule="auto"/>
              <w:jc w:val="center"/>
            </w:pPr>
            <w:r/>
            <w:r>
              <w:rPr>
                <w:b w:val="0"/>
                <w:i w:val="0"/>
                <w:sz w:val="18"/>
              </w:rPr>
              <w:t>1,327</w:t>
            </w:r>
          </w:p>
        </w:tc>
        <w:tc>
          <w:tcPr>
            <w:tcW w:type="dxa" w:w="2077"/>
          </w:tcPr>
          <w:p>
            <w:pPr>
              <w:spacing w:after="20" w:line="240" w:lineRule="auto"/>
              <w:jc w:val="center"/>
            </w:pPr>
            <w:r/>
            <w:r>
              <w:rPr>
                <w:b w:val="0"/>
                <w:i w:val="0"/>
                <w:sz w:val="18"/>
              </w:rPr>
              <w:t>22</w:t>
            </w:r>
          </w:p>
        </w:tc>
      </w:tr>
      <w:tr>
        <w:trPr>
          <w:cantSplit w:val="true"/>
        </w:trPr>
        <w:tc>
          <w:tcPr>
            <w:tcW w:type="dxa" w:w="3742"/>
          </w:tcPr>
          <w:p>
            <w:pPr>
              <w:spacing w:after="20" w:line="240" w:lineRule="auto"/>
            </w:pPr>
            <w:r/>
            <w:r>
              <w:rPr>
                <w:b w:val="0"/>
                <w:i w:val="0"/>
                <w:sz w:val="18"/>
              </w:rPr>
              <w:t>GMT ratio, high dose / low dose (95% CI)</w:t>
            </w:r>
          </w:p>
        </w:tc>
        <w:tc>
          <w:tcPr>
            <w:tcW w:type="dxa" w:w="2077"/>
          </w:tcPr>
          <w:p>
            <w:pPr>
              <w:spacing w:after="20" w:line="240" w:lineRule="auto"/>
              <w:jc w:val="center"/>
            </w:pPr>
            <w:r/>
            <w:r>
              <w:rPr>
                <w:b w:val="0"/>
                <w:i w:val="0"/>
                <w:sz w:val="18"/>
              </w:rPr>
              <w:t>1.12 (0.94 to 1.33)</w:t>
            </w:r>
          </w:p>
        </w:tc>
        <w:tc>
          <w:tcPr>
            <w:tcW w:type="dxa" w:w="2077"/>
          </w:tcPr>
          <w:p>
            <w:pPr>
              <w:spacing w:after="20" w:line="240" w:lineRule="auto"/>
              <w:jc w:val="center"/>
            </w:pPr>
            <w:r/>
            <w:r>
              <w:rPr>
                <w:b w:val="0"/>
                <w:i w:val="0"/>
                <w:sz w:val="18"/>
              </w:rPr>
            </w:r>
          </w:p>
        </w:tc>
        <w:tc>
          <w:tcPr>
            <w:tcW w:type="dxa" w:w="2077"/>
          </w:tcPr>
          <w:p>
            <w:pPr>
              <w:spacing w:after="20" w:line="240" w:lineRule="auto"/>
              <w:jc w:val="center"/>
            </w:pPr>
            <w:r/>
            <w:r>
              <w:rPr>
                <w:b w:val="0"/>
                <w:i w:val="0"/>
                <w:sz w:val="18"/>
              </w:rPr>
            </w:r>
          </w:p>
        </w:tc>
      </w:tr>
    </w:tbl>
    <w:p>
      <w:pPr>
        <w:spacing w:after="40"/>
      </w:pPr>
    </w:p>
    <w:p>
      <w:r>
        <w:rPr>
          <w:i w:val="0"/>
        </w:rPr>
        <w:t>At both dose levels, Day 57 GMTs exceeded the levels associated with protection for licensed vaccines against related pathogens. By Day 209, GMTs had fallen to 412 (low dose) and 455 (high dose), and titers remained above that level in 88.1% and 90.6% of subjects. A planned analysis of Day 57 data in July 2023 found similar immune responses at the two dose levels and lower reactogenicity at the low dose, and the low dose was selected for Phase 3. The final analysis supports that choice.</w:t>
      </w:r>
    </w:p>
    <w:p>
      <w:pPr>
        <w:pStyle w:val="Heading2"/>
      </w:pPr>
      <w:r>
        <w:t>3. Safety</w:t>
      </w:r>
    </w:p>
    <w:p>
      <w:r>
        <w:rPr>
          <w:b/>
          <w:i w:val="0"/>
          <w:sz w:val="19"/>
        </w:rPr>
        <w:t>Solicited reactions within 7 days after each dose (safety set)</w:t>
      </w:r>
    </w:p>
    <w:tbl>
      <w:tblPr>
        <w:tblStyle w:val="TableGrid"/>
        <w:tblW w:type="auto" w:w="0"/>
        <w:jc w:val="center"/>
        <w:tblLayout w:type="fixed"/>
        <w:tblLook w:firstColumn="1" w:firstRow="1" w:lastColumn="0" w:lastRow="0" w:noHBand="0" w:noVBand="1" w:val="04A0"/>
        <w:tblLayout w:type="fixed"/>
      </w:tblPr>
      <w:tblGrid>
        <w:gridCol w:w="1701"/>
        <w:gridCol w:w="1379"/>
        <w:gridCol w:w="1379"/>
        <w:gridCol w:w="1379"/>
        <w:gridCol w:w="1379"/>
        <w:gridCol w:w="1379"/>
        <w:gridCol w:w="1379"/>
      </w:tblGrid>
      <w:tr>
        <w:trPr>
          <w:tblHeader w:val="true"/>
          <w:cantSplit w:val="true"/>
        </w:trPr>
        <w:tc>
          <w:tcPr>
            <w:tcW w:type="dxa" w:w="1701"/>
            <w:shd w:val="clear" w:color="auto" w:fill="E8EDF4"/>
          </w:tcPr>
          <w:p>
            <w:pPr>
              <w:spacing w:after="20" w:line="240" w:lineRule="auto"/>
            </w:pPr>
            <w:r/>
            <w:r>
              <w:rPr>
                <w:b/>
                <w:i w:val="0"/>
                <w:sz w:val="17"/>
              </w:rPr>
              <w:t>Reaction</w:t>
            </w:r>
          </w:p>
        </w:tc>
        <w:tc>
          <w:tcPr>
            <w:tcW w:type="dxa" w:w="1379"/>
            <w:shd w:val="clear" w:color="auto" w:fill="E8EDF4"/>
          </w:tcPr>
          <w:p>
            <w:pPr>
              <w:spacing w:after="20" w:line="240" w:lineRule="auto"/>
            </w:pPr>
            <w:r/>
            <w:r>
              <w:rPr>
                <w:b/>
                <w:i w:val="0"/>
                <w:sz w:val="17"/>
              </w:rPr>
              <w:t>Low dose</w:t>
            </w:r>
          </w:p>
          <w:p>
            <w:pPr>
              <w:spacing w:after="20" w:line="240" w:lineRule="auto"/>
            </w:pPr>
            <w:r>
              <w:rPr>
                <w:b/>
                <w:i w:val="0"/>
                <w:sz w:val="17"/>
              </w:rPr>
              <w:t>dose 1</w:t>
            </w:r>
          </w:p>
        </w:tc>
        <w:tc>
          <w:tcPr>
            <w:tcW w:type="dxa" w:w="1379"/>
            <w:shd w:val="clear" w:color="auto" w:fill="E8EDF4"/>
          </w:tcPr>
          <w:p>
            <w:pPr>
              <w:spacing w:after="20" w:line="240" w:lineRule="auto"/>
            </w:pPr>
            <w:r/>
            <w:r>
              <w:rPr>
                <w:b/>
                <w:i w:val="0"/>
                <w:sz w:val="17"/>
              </w:rPr>
              <w:t>Low dose</w:t>
            </w:r>
          </w:p>
          <w:p>
            <w:pPr>
              <w:spacing w:after="20" w:line="240" w:lineRule="auto"/>
            </w:pPr>
            <w:r>
              <w:rPr>
                <w:b/>
                <w:i w:val="0"/>
                <w:sz w:val="17"/>
              </w:rPr>
              <w:t>dose 2</w:t>
            </w:r>
          </w:p>
        </w:tc>
        <w:tc>
          <w:tcPr>
            <w:tcW w:type="dxa" w:w="1379"/>
            <w:shd w:val="clear" w:color="auto" w:fill="E8EDF4"/>
          </w:tcPr>
          <w:p>
            <w:pPr>
              <w:spacing w:after="20" w:line="240" w:lineRule="auto"/>
            </w:pPr>
            <w:r/>
            <w:r>
              <w:rPr>
                <w:b/>
                <w:i w:val="0"/>
                <w:sz w:val="17"/>
              </w:rPr>
              <w:t>High dose</w:t>
            </w:r>
          </w:p>
          <w:p>
            <w:pPr>
              <w:spacing w:after="20" w:line="240" w:lineRule="auto"/>
            </w:pPr>
            <w:r>
              <w:rPr>
                <w:b/>
                <w:i w:val="0"/>
                <w:sz w:val="17"/>
              </w:rPr>
              <w:t>dose 1</w:t>
            </w:r>
          </w:p>
        </w:tc>
        <w:tc>
          <w:tcPr>
            <w:tcW w:type="dxa" w:w="1379"/>
            <w:shd w:val="clear" w:color="auto" w:fill="E8EDF4"/>
          </w:tcPr>
          <w:p>
            <w:pPr>
              <w:spacing w:after="20" w:line="240" w:lineRule="auto"/>
            </w:pPr>
            <w:r/>
            <w:r>
              <w:rPr>
                <w:b/>
                <w:i w:val="0"/>
                <w:sz w:val="17"/>
              </w:rPr>
              <w:t>High dose</w:t>
            </w:r>
          </w:p>
          <w:p>
            <w:pPr>
              <w:spacing w:after="20" w:line="240" w:lineRule="auto"/>
            </w:pPr>
            <w:r>
              <w:rPr>
                <w:b/>
                <w:i w:val="0"/>
                <w:sz w:val="17"/>
              </w:rPr>
              <w:t>dose 2</w:t>
            </w:r>
          </w:p>
        </w:tc>
        <w:tc>
          <w:tcPr>
            <w:tcW w:type="dxa" w:w="1379"/>
            <w:shd w:val="clear" w:color="auto" w:fill="E8EDF4"/>
          </w:tcPr>
          <w:p>
            <w:pPr>
              <w:spacing w:after="20" w:line="240" w:lineRule="auto"/>
            </w:pPr>
            <w:r/>
            <w:r>
              <w:rPr>
                <w:b/>
                <w:i w:val="0"/>
                <w:sz w:val="17"/>
              </w:rPr>
              <w:t>Placebo</w:t>
            </w:r>
          </w:p>
          <w:p>
            <w:pPr>
              <w:spacing w:after="20" w:line="240" w:lineRule="auto"/>
            </w:pPr>
            <w:r>
              <w:rPr>
                <w:b/>
                <w:i w:val="0"/>
                <w:sz w:val="17"/>
              </w:rPr>
              <w:t>dose 1</w:t>
            </w:r>
          </w:p>
        </w:tc>
        <w:tc>
          <w:tcPr>
            <w:tcW w:type="dxa" w:w="1379"/>
            <w:shd w:val="clear" w:color="auto" w:fill="E8EDF4"/>
          </w:tcPr>
          <w:p>
            <w:pPr>
              <w:spacing w:after="20" w:line="240" w:lineRule="auto"/>
            </w:pPr>
            <w:r/>
            <w:r>
              <w:rPr>
                <w:b/>
                <w:i w:val="0"/>
                <w:sz w:val="17"/>
              </w:rPr>
              <w:t>Placebo</w:t>
            </w:r>
          </w:p>
          <w:p>
            <w:pPr>
              <w:spacing w:after="20" w:line="240" w:lineRule="auto"/>
            </w:pPr>
            <w:r>
              <w:rPr>
                <w:b/>
                <w:i w:val="0"/>
                <w:sz w:val="17"/>
              </w:rPr>
              <w:t>dose 2</w:t>
            </w:r>
          </w:p>
        </w:tc>
      </w:tr>
      <w:tr>
        <w:trPr>
          <w:cantSplit w:val="true"/>
        </w:trPr>
        <w:tc>
          <w:tcPr>
            <w:tcW w:type="dxa" w:w="1701"/>
          </w:tcPr>
          <w:p>
            <w:pPr>
              <w:spacing w:after="20" w:line="240" w:lineRule="auto"/>
            </w:pPr>
            <w:r/>
            <w:r>
              <w:rPr>
                <w:b w:val="0"/>
                <w:i w:val="0"/>
                <w:sz w:val="17"/>
              </w:rPr>
              <w:t>Local, any</w:t>
            </w:r>
          </w:p>
        </w:tc>
        <w:tc>
          <w:tcPr>
            <w:tcW w:type="dxa" w:w="1379"/>
          </w:tcPr>
          <w:p>
            <w:pPr>
              <w:spacing w:after="20" w:line="240" w:lineRule="auto"/>
              <w:jc w:val="center"/>
            </w:pPr>
            <w:r/>
            <w:r>
              <w:rPr>
                <w:b w:val="0"/>
                <w:i w:val="0"/>
                <w:sz w:val="17"/>
              </w:rPr>
              <w:t>107/225 (47.6%)</w:t>
            </w:r>
          </w:p>
        </w:tc>
        <w:tc>
          <w:tcPr>
            <w:tcW w:type="dxa" w:w="1379"/>
          </w:tcPr>
          <w:p>
            <w:pPr>
              <w:spacing w:after="20" w:line="240" w:lineRule="auto"/>
              <w:jc w:val="center"/>
            </w:pPr>
            <w:r/>
            <w:r>
              <w:rPr>
                <w:b w:val="0"/>
                <w:i w:val="0"/>
                <w:sz w:val="17"/>
              </w:rPr>
              <w:t>128/220 (58.2%)</w:t>
            </w:r>
          </w:p>
        </w:tc>
        <w:tc>
          <w:tcPr>
            <w:tcW w:type="dxa" w:w="1379"/>
          </w:tcPr>
          <w:p>
            <w:pPr>
              <w:spacing w:after="20" w:line="240" w:lineRule="auto"/>
              <w:jc w:val="center"/>
            </w:pPr>
            <w:r/>
            <w:r>
              <w:rPr>
                <w:b w:val="0"/>
                <w:i w:val="0"/>
                <w:sz w:val="17"/>
              </w:rPr>
              <w:t>136/225 (60.4%)</w:t>
            </w:r>
          </w:p>
        </w:tc>
        <w:tc>
          <w:tcPr>
            <w:tcW w:type="dxa" w:w="1379"/>
          </w:tcPr>
          <w:p>
            <w:pPr>
              <w:spacing w:after="20" w:line="240" w:lineRule="auto"/>
              <w:jc w:val="center"/>
            </w:pPr>
            <w:r/>
            <w:r>
              <w:rPr>
                <w:b w:val="0"/>
                <w:i w:val="0"/>
                <w:sz w:val="17"/>
              </w:rPr>
              <w:t>157/219 (71.7%)</w:t>
            </w:r>
          </w:p>
        </w:tc>
        <w:tc>
          <w:tcPr>
            <w:tcW w:type="dxa" w:w="1379"/>
          </w:tcPr>
          <w:p>
            <w:pPr>
              <w:spacing w:after="20" w:line="240" w:lineRule="auto"/>
              <w:jc w:val="center"/>
            </w:pPr>
            <w:r/>
            <w:r>
              <w:rPr>
                <w:b w:val="0"/>
                <w:i w:val="0"/>
                <w:sz w:val="17"/>
              </w:rPr>
              <w:t>17/150 (11.3%)</w:t>
            </w:r>
          </w:p>
        </w:tc>
        <w:tc>
          <w:tcPr>
            <w:tcW w:type="dxa" w:w="1379"/>
          </w:tcPr>
          <w:p>
            <w:pPr>
              <w:spacing w:after="20" w:line="240" w:lineRule="auto"/>
              <w:jc w:val="center"/>
            </w:pPr>
            <w:r/>
            <w:r>
              <w:rPr>
                <w:b w:val="0"/>
                <w:i w:val="0"/>
                <w:sz w:val="17"/>
              </w:rPr>
              <w:t>16/149 (10.7%)</w:t>
            </w:r>
          </w:p>
        </w:tc>
      </w:tr>
      <w:tr>
        <w:trPr>
          <w:cantSplit w:val="true"/>
        </w:trPr>
        <w:tc>
          <w:tcPr>
            <w:tcW w:type="dxa" w:w="1701"/>
          </w:tcPr>
          <w:p>
            <w:pPr>
              <w:spacing w:after="20" w:line="240" w:lineRule="auto"/>
            </w:pPr>
            <w:r/>
            <w:r>
              <w:rPr>
                <w:b w:val="0"/>
                <w:i w:val="0"/>
                <w:sz w:val="17"/>
              </w:rPr>
              <w:t>Local, grade 3</w:t>
            </w:r>
          </w:p>
        </w:tc>
        <w:tc>
          <w:tcPr>
            <w:tcW w:type="dxa" w:w="1379"/>
          </w:tcPr>
          <w:p>
            <w:pPr>
              <w:spacing w:after="20" w:line="240" w:lineRule="auto"/>
              <w:jc w:val="center"/>
            </w:pPr>
            <w:r/>
            <w:r>
              <w:rPr>
                <w:b w:val="0"/>
                <w:i w:val="0"/>
                <w:sz w:val="17"/>
              </w:rPr>
              <w:t>2/225 (0.9%)</w:t>
            </w:r>
          </w:p>
        </w:tc>
        <w:tc>
          <w:tcPr>
            <w:tcW w:type="dxa" w:w="1379"/>
          </w:tcPr>
          <w:p>
            <w:pPr>
              <w:spacing w:after="20" w:line="240" w:lineRule="auto"/>
              <w:jc w:val="center"/>
            </w:pPr>
            <w:r/>
            <w:r>
              <w:rPr>
                <w:b w:val="0"/>
                <w:i w:val="0"/>
                <w:sz w:val="17"/>
              </w:rPr>
              <w:t>4/220 (1.8%)</w:t>
            </w:r>
          </w:p>
        </w:tc>
        <w:tc>
          <w:tcPr>
            <w:tcW w:type="dxa" w:w="1379"/>
          </w:tcPr>
          <w:p>
            <w:pPr>
              <w:spacing w:after="20" w:line="240" w:lineRule="auto"/>
              <w:jc w:val="center"/>
            </w:pPr>
            <w:r/>
            <w:r>
              <w:rPr>
                <w:b w:val="0"/>
                <w:i w:val="0"/>
                <w:sz w:val="17"/>
              </w:rPr>
              <w:t>5/225 (2.2%)</w:t>
            </w:r>
          </w:p>
        </w:tc>
        <w:tc>
          <w:tcPr>
            <w:tcW w:type="dxa" w:w="1379"/>
          </w:tcPr>
          <w:p>
            <w:pPr>
              <w:spacing w:after="20" w:line="240" w:lineRule="auto"/>
              <w:jc w:val="center"/>
            </w:pPr>
            <w:r/>
            <w:r>
              <w:rPr>
                <w:b w:val="0"/>
                <w:i w:val="0"/>
                <w:sz w:val="17"/>
              </w:rPr>
              <w:t>9/219 (4.1%)</w:t>
            </w:r>
          </w:p>
        </w:tc>
        <w:tc>
          <w:tcPr>
            <w:tcW w:type="dxa" w:w="1379"/>
          </w:tcPr>
          <w:p>
            <w:pPr>
              <w:spacing w:after="20" w:line="240" w:lineRule="auto"/>
              <w:jc w:val="center"/>
            </w:pPr>
            <w:r/>
            <w:r>
              <w:rPr>
                <w:b w:val="0"/>
                <w:i w:val="0"/>
                <w:sz w:val="17"/>
              </w:rPr>
              <w:t>0/150 (0.0%)</w:t>
            </w:r>
          </w:p>
        </w:tc>
        <w:tc>
          <w:tcPr>
            <w:tcW w:type="dxa" w:w="1379"/>
          </w:tcPr>
          <w:p>
            <w:pPr>
              <w:spacing w:after="20" w:line="240" w:lineRule="auto"/>
              <w:jc w:val="center"/>
            </w:pPr>
            <w:r/>
            <w:r>
              <w:rPr>
                <w:b w:val="0"/>
                <w:i w:val="0"/>
                <w:sz w:val="17"/>
              </w:rPr>
              <w:t>0/149 (0.0%)</w:t>
            </w:r>
          </w:p>
        </w:tc>
      </w:tr>
      <w:tr>
        <w:trPr>
          <w:cantSplit w:val="true"/>
        </w:trPr>
        <w:tc>
          <w:tcPr>
            <w:tcW w:type="dxa" w:w="1701"/>
          </w:tcPr>
          <w:p>
            <w:pPr>
              <w:spacing w:after="20" w:line="240" w:lineRule="auto"/>
            </w:pPr>
            <w:r/>
            <w:r>
              <w:rPr>
                <w:b w:val="0"/>
                <w:i w:val="0"/>
                <w:sz w:val="17"/>
              </w:rPr>
              <w:t>Systemic, any</w:t>
            </w:r>
          </w:p>
        </w:tc>
        <w:tc>
          <w:tcPr>
            <w:tcW w:type="dxa" w:w="1379"/>
          </w:tcPr>
          <w:p>
            <w:pPr>
              <w:spacing w:after="20" w:line="240" w:lineRule="auto"/>
              <w:jc w:val="center"/>
            </w:pPr>
            <w:r/>
            <w:r>
              <w:rPr>
                <w:b w:val="0"/>
                <w:i w:val="0"/>
                <w:sz w:val="17"/>
              </w:rPr>
              <w:t>76/225 (33.8%)</w:t>
            </w:r>
          </w:p>
        </w:tc>
        <w:tc>
          <w:tcPr>
            <w:tcW w:type="dxa" w:w="1379"/>
          </w:tcPr>
          <w:p>
            <w:pPr>
              <w:spacing w:after="20" w:line="240" w:lineRule="auto"/>
              <w:jc w:val="center"/>
            </w:pPr>
            <w:r/>
            <w:r>
              <w:rPr>
                <w:b w:val="0"/>
                <w:i w:val="0"/>
                <w:sz w:val="17"/>
              </w:rPr>
              <w:t>99/220 (45.0%)</w:t>
            </w:r>
          </w:p>
        </w:tc>
        <w:tc>
          <w:tcPr>
            <w:tcW w:type="dxa" w:w="1379"/>
          </w:tcPr>
          <w:p>
            <w:pPr>
              <w:spacing w:after="20" w:line="240" w:lineRule="auto"/>
              <w:jc w:val="center"/>
            </w:pPr>
            <w:r/>
            <w:r>
              <w:rPr>
                <w:b w:val="0"/>
                <w:i w:val="0"/>
                <w:sz w:val="17"/>
              </w:rPr>
              <w:t>95/225 (42.2%)</w:t>
            </w:r>
          </w:p>
        </w:tc>
        <w:tc>
          <w:tcPr>
            <w:tcW w:type="dxa" w:w="1379"/>
          </w:tcPr>
          <w:p>
            <w:pPr>
              <w:spacing w:after="20" w:line="240" w:lineRule="auto"/>
              <w:jc w:val="center"/>
            </w:pPr>
            <w:r/>
            <w:r>
              <w:rPr>
                <w:b w:val="0"/>
                <w:i w:val="0"/>
                <w:sz w:val="17"/>
              </w:rPr>
              <w:t>123/219 (56.2%)</w:t>
            </w:r>
          </w:p>
        </w:tc>
        <w:tc>
          <w:tcPr>
            <w:tcW w:type="dxa" w:w="1379"/>
          </w:tcPr>
          <w:p>
            <w:pPr>
              <w:spacing w:after="20" w:line="240" w:lineRule="auto"/>
              <w:jc w:val="center"/>
            </w:pPr>
            <w:r/>
            <w:r>
              <w:rPr>
                <w:b w:val="0"/>
                <w:i w:val="0"/>
                <w:sz w:val="17"/>
              </w:rPr>
              <w:t>34/150 (22.7%)</w:t>
            </w:r>
          </w:p>
        </w:tc>
        <w:tc>
          <w:tcPr>
            <w:tcW w:type="dxa" w:w="1379"/>
          </w:tcPr>
          <w:p>
            <w:pPr>
              <w:spacing w:after="20" w:line="240" w:lineRule="auto"/>
              <w:jc w:val="center"/>
            </w:pPr>
            <w:r/>
            <w:r>
              <w:rPr>
                <w:b w:val="0"/>
                <w:i w:val="0"/>
                <w:sz w:val="17"/>
              </w:rPr>
              <w:t>28/149 (18.8%)</w:t>
            </w:r>
          </w:p>
        </w:tc>
      </w:tr>
      <w:tr>
        <w:trPr>
          <w:cantSplit w:val="true"/>
        </w:trPr>
        <w:tc>
          <w:tcPr>
            <w:tcW w:type="dxa" w:w="1701"/>
          </w:tcPr>
          <w:p>
            <w:pPr>
              <w:spacing w:after="20" w:line="240" w:lineRule="auto"/>
            </w:pPr>
            <w:r/>
            <w:r>
              <w:rPr>
                <w:b w:val="0"/>
                <w:i w:val="0"/>
                <w:sz w:val="17"/>
              </w:rPr>
              <w:t>Systemic, grade 3</w:t>
            </w:r>
          </w:p>
        </w:tc>
        <w:tc>
          <w:tcPr>
            <w:tcW w:type="dxa" w:w="1379"/>
          </w:tcPr>
          <w:p>
            <w:pPr>
              <w:spacing w:after="20" w:line="240" w:lineRule="auto"/>
              <w:jc w:val="center"/>
            </w:pPr>
            <w:r/>
            <w:r>
              <w:rPr>
                <w:b w:val="0"/>
                <w:i w:val="0"/>
                <w:sz w:val="17"/>
              </w:rPr>
              <w:t>3/225 (1.3%)</w:t>
            </w:r>
          </w:p>
        </w:tc>
        <w:tc>
          <w:tcPr>
            <w:tcW w:type="dxa" w:w="1379"/>
          </w:tcPr>
          <w:p>
            <w:pPr>
              <w:spacing w:after="20" w:line="240" w:lineRule="auto"/>
              <w:jc w:val="center"/>
            </w:pPr>
            <w:r/>
            <w:r>
              <w:rPr>
                <w:b w:val="0"/>
                <w:i w:val="0"/>
                <w:sz w:val="17"/>
              </w:rPr>
              <w:t>5/220 (2.3%)</w:t>
            </w:r>
          </w:p>
        </w:tc>
        <w:tc>
          <w:tcPr>
            <w:tcW w:type="dxa" w:w="1379"/>
          </w:tcPr>
          <w:p>
            <w:pPr>
              <w:spacing w:after="20" w:line="240" w:lineRule="auto"/>
              <w:jc w:val="center"/>
            </w:pPr>
            <w:r/>
            <w:r>
              <w:rPr>
                <w:b w:val="0"/>
                <w:i w:val="0"/>
                <w:sz w:val="17"/>
              </w:rPr>
              <w:t>6/225 (2.7%)</w:t>
            </w:r>
          </w:p>
        </w:tc>
        <w:tc>
          <w:tcPr>
            <w:tcW w:type="dxa" w:w="1379"/>
          </w:tcPr>
          <w:p>
            <w:pPr>
              <w:spacing w:after="20" w:line="240" w:lineRule="auto"/>
              <w:jc w:val="center"/>
            </w:pPr>
            <w:r/>
            <w:r>
              <w:rPr>
                <w:b w:val="0"/>
                <w:i w:val="0"/>
                <w:sz w:val="17"/>
              </w:rPr>
              <w:t>11/219 (5.0%)</w:t>
            </w:r>
          </w:p>
        </w:tc>
        <w:tc>
          <w:tcPr>
            <w:tcW w:type="dxa" w:w="1379"/>
          </w:tcPr>
          <w:p>
            <w:pPr>
              <w:spacing w:after="20" w:line="240" w:lineRule="auto"/>
              <w:jc w:val="center"/>
            </w:pPr>
            <w:r/>
            <w:r>
              <w:rPr>
                <w:b w:val="0"/>
                <w:i w:val="0"/>
                <w:sz w:val="17"/>
              </w:rPr>
              <w:t>2/150 (1.3%)</w:t>
            </w:r>
          </w:p>
        </w:tc>
        <w:tc>
          <w:tcPr>
            <w:tcW w:type="dxa" w:w="1379"/>
          </w:tcPr>
          <w:p>
            <w:pPr>
              <w:spacing w:after="20" w:line="240" w:lineRule="auto"/>
              <w:jc w:val="center"/>
            </w:pPr>
            <w:r/>
            <w:r>
              <w:rPr>
                <w:b w:val="0"/>
                <w:i w:val="0"/>
                <w:sz w:val="17"/>
              </w:rPr>
              <w:t>1/149 (0.7%)</w:t>
            </w:r>
          </w:p>
        </w:tc>
      </w:tr>
      <w:tr>
        <w:trPr>
          <w:cantSplit w:val="true"/>
        </w:trPr>
        <w:tc>
          <w:tcPr>
            <w:tcW w:type="dxa" w:w="1701"/>
          </w:tcPr>
          <w:p>
            <w:pPr>
              <w:spacing w:after="20" w:line="240" w:lineRule="auto"/>
            </w:pPr>
            <w:r/>
            <w:r>
              <w:rPr>
                <w:b w:val="0"/>
                <w:i w:val="0"/>
                <w:sz w:val="17"/>
              </w:rPr>
              <w:t>Fever ≥38.0 °C</w:t>
            </w:r>
          </w:p>
        </w:tc>
        <w:tc>
          <w:tcPr>
            <w:tcW w:type="dxa" w:w="1379"/>
          </w:tcPr>
          <w:p>
            <w:pPr>
              <w:spacing w:after="20" w:line="240" w:lineRule="auto"/>
              <w:jc w:val="center"/>
            </w:pPr>
            <w:r/>
            <w:r>
              <w:rPr>
                <w:b w:val="0"/>
                <w:i w:val="0"/>
                <w:sz w:val="17"/>
              </w:rPr>
              <w:t>4/225 (1.8%)</w:t>
            </w:r>
          </w:p>
        </w:tc>
        <w:tc>
          <w:tcPr>
            <w:tcW w:type="dxa" w:w="1379"/>
          </w:tcPr>
          <w:p>
            <w:pPr>
              <w:spacing w:after="20" w:line="240" w:lineRule="auto"/>
              <w:jc w:val="center"/>
            </w:pPr>
            <w:r/>
            <w:r>
              <w:rPr>
                <w:b w:val="0"/>
                <w:i w:val="0"/>
                <w:sz w:val="17"/>
              </w:rPr>
              <w:t>9/220 (4.1%)</w:t>
            </w:r>
          </w:p>
        </w:tc>
        <w:tc>
          <w:tcPr>
            <w:tcW w:type="dxa" w:w="1379"/>
          </w:tcPr>
          <w:p>
            <w:pPr>
              <w:spacing w:after="20" w:line="240" w:lineRule="auto"/>
              <w:jc w:val="center"/>
            </w:pPr>
            <w:r/>
            <w:r>
              <w:rPr>
                <w:b w:val="0"/>
                <w:i w:val="0"/>
                <w:sz w:val="17"/>
              </w:rPr>
              <w:t>7/225 (3.1%)</w:t>
            </w:r>
          </w:p>
        </w:tc>
        <w:tc>
          <w:tcPr>
            <w:tcW w:type="dxa" w:w="1379"/>
          </w:tcPr>
          <w:p>
            <w:pPr>
              <w:spacing w:after="20" w:line="240" w:lineRule="auto"/>
              <w:jc w:val="center"/>
            </w:pPr>
            <w:r/>
            <w:r>
              <w:rPr>
                <w:b w:val="0"/>
                <w:i w:val="0"/>
                <w:sz w:val="17"/>
              </w:rPr>
              <w:t>16/219 (7.3%)</w:t>
            </w:r>
          </w:p>
        </w:tc>
        <w:tc>
          <w:tcPr>
            <w:tcW w:type="dxa" w:w="1379"/>
          </w:tcPr>
          <w:p>
            <w:pPr>
              <w:spacing w:after="20" w:line="240" w:lineRule="auto"/>
              <w:jc w:val="center"/>
            </w:pPr>
            <w:r/>
            <w:r>
              <w:rPr>
                <w:b w:val="0"/>
                <w:i w:val="0"/>
                <w:sz w:val="17"/>
              </w:rPr>
              <w:t>1/150 (0.7%)</w:t>
            </w:r>
          </w:p>
        </w:tc>
        <w:tc>
          <w:tcPr>
            <w:tcW w:type="dxa" w:w="1379"/>
          </w:tcPr>
          <w:p>
            <w:pPr>
              <w:spacing w:after="20" w:line="240" w:lineRule="auto"/>
              <w:jc w:val="center"/>
            </w:pPr>
            <w:r/>
            <w:r>
              <w:rPr>
                <w:b w:val="0"/>
                <w:i w:val="0"/>
                <w:sz w:val="17"/>
              </w:rPr>
              <w:t>1/149 (0.7%)</w:t>
            </w:r>
          </w:p>
        </w:tc>
      </w:tr>
    </w:tbl>
    <w:p>
      <w:pPr>
        <w:spacing w:after="40"/>
      </w:pPr>
    </w:p>
    <w:p>
      <w:r>
        <w:rPr>
          <w:i w:val="0"/>
        </w:rPr>
        <w:t>Injection-site pain was the most frequent local reaction; fatigue, headache and myalgia were the most frequent systemic reactions. No grade 4 reaction occurred. Reactions began on the day of vaccination or the day after, lasted a median of 1 day, and all resolved within three days of onset.</w:t>
      </w:r>
    </w:p>
    <w:p>
      <w:r>
        <w:rPr>
          <w:i w:val="0"/>
        </w:rPr>
        <w:t>Unsolicited adverse events within 28 days after any dose occurred in 71 of 225 (31.6%), 75 of 225 (33.3%) and 43 of 150 (28.7%) subjects in the low-dose, high-dose and placebo groups; the most frequent were headache, nasopharyngitis, upper respiratory tract infection and back pain. Events considered related by the investigator, mainly injection-site pruritus and axillary lymphadenopathy, occurred in 13 (5.8%), 18 (8.0%) and 6 (4.0%) subjects.</w:t>
      </w:r>
    </w:p>
    <w:p>
      <w:r>
        <w:rPr>
          <w:i w:val="0"/>
        </w:rPr>
        <w:t>Serious adverse events through Day 209: nine events in eight subjects. Low dose (3 subjects): appendicitis; ankle fracture; nephrolithiasis. High dose (3 subjects): cholecystitis; femur fracture and concussion in a road traffic accident; unstable angina in a 61-year-old with hypertension and hyperlipidemia. Placebo (2 subjects): intervertebral disc protrusion; pneumonia. None was assessed as related to vaccination by the investigator or the sponsor. No subject died.</w:t>
      </w:r>
    </w:p>
    <w:p>
      <w:r>
        <w:rPr>
          <w:b/>
          <w:i w:val="0"/>
          <w:sz w:val="19"/>
        </w:rPr>
        <w:t>Adverse events of special interest through Day 209 (case definitions per protocol):</w:t>
      </w:r>
    </w:p>
    <w:tbl>
      <w:tblPr>
        <w:tblStyle w:val="TableGrid"/>
        <w:tblW w:type="auto" w:w="0"/>
        <w:jc w:val="center"/>
        <w:tblLayout w:type="fixed"/>
        <w:tblLook w:firstColumn="1" w:firstRow="1" w:lastColumn="0" w:lastRow="0" w:noHBand="0" w:noVBand="1" w:val="04A0"/>
        <w:tblLayout w:type="fixed"/>
      </w:tblPr>
      <w:tblGrid>
        <w:gridCol w:w="3969"/>
        <w:gridCol w:w="2001"/>
        <w:gridCol w:w="2001"/>
        <w:gridCol w:w="2001"/>
      </w:tblGrid>
      <w:tr>
        <w:trPr>
          <w:tblHeader w:val="true"/>
          <w:cantSplit w:val="true"/>
        </w:trPr>
        <w:tc>
          <w:tcPr>
            <w:tcW w:type="dxa" w:w="3969"/>
            <w:shd w:val="clear" w:color="auto" w:fill="E8EDF4"/>
          </w:tcPr>
          <w:p>
            <w:pPr>
              <w:spacing w:after="20" w:line="240" w:lineRule="auto"/>
            </w:pPr>
            <w:r/>
            <w:r>
              <w:rPr>
                <w:b/>
                <w:i w:val="0"/>
                <w:sz w:val="19"/>
              </w:rPr>
              <w:t>Event</w:t>
            </w:r>
          </w:p>
        </w:tc>
        <w:tc>
          <w:tcPr>
            <w:tcW w:type="dxa" w:w="2001"/>
            <w:shd w:val="clear" w:color="auto" w:fill="E8EDF4"/>
          </w:tcPr>
          <w:p>
            <w:pPr>
              <w:spacing w:after="20" w:line="240" w:lineRule="auto"/>
            </w:pPr>
            <w:r/>
            <w:r>
              <w:rPr>
                <w:b/>
                <w:i w:val="0"/>
                <w:sz w:val="19"/>
              </w:rPr>
              <w:t>Low dose (N=225)</w:t>
            </w:r>
          </w:p>
        </w:tc>
        <w:tc>
          <w:tcPr>
            <w:tcW w:type="dxa" w:w="2001"/>
            <w:shd w:val="clear" w:color="auto" w:fill="E8EDF4"/>
          </w:tcPr>
          <w:p>
            <w:pPr>
              <w:spacing w:after="20" w:line="240" w:lineRule="auto"/>
            </w:pPr>
            <w:r/>
            <w:r>
              <w:rPr>
                <w:b/>
                <w:i w:val="0"/>
                <w:sz w:val="19"/>
              </w:rPr>
              <w:t>High dose (N=225)</w:t>
            </w:r>
          </w:p>
        </w:tc>
        <w:tc>
          <w:tcPr>
            <w:tcW w:type="dxa" w:w="2001"/>
            <w:shd w:val="clear" w:color="auto" w:fill="E8EDF4"/>
          </w:tcPr>
          <w:p>
            <w:pPr>
              <w:spacing w:after="20" w:line="240" w:lineRule="auto"/>
            </w:pPr>
            <w:r/>
            <w:r>
              <w:rPr>
                <w:b/>
                <w:i w:val="0"/>
                <w:sz w:val="19"/>
              </w:rPr>
              <w:t>Placebo (N=150)</w:t>
            </w:r>
          </w:p>
        </w:tc>
      </w:tr>
      <w:tr>
        <w:trPr>
          <w:cantSplit w:val="true"/>
        </w:trPr>
        <w:tc>
          <w:tcPr>
            <w:tcW w:type="dxa" w:w="3969"/>
          </w:tcPr>
          <w:p>
            <w:pPr>
              <w:spacing w:after="20" w:line="240" w:lineRule="auto"/>
            </w:pPr>
            <w:r/>
            <w:r>
              <w:rPr>
                <w:b w:val="0"/>
                <w:i w:val="0"/>
                <w:sz w:val="18"/>
              </w:rPr>
              <w:t>Bell's palsy</w:t>
            </w:r>
          </w:p>
        </w:tc>
        <w:tc>
          <w:tcPr>
            <w:tcW w:type="dxa" w:w="2001"/>
          </w:tcPr>
          <w:p>
            <w:pPr>
              <w:spacing w:after="20" w:line="240" w:lineRule="auto"/>
              <w:jc w:val="center"/>
            </w:pPr>
            <w:r/>
            <w:r>
              <w:rPr>
                <w:b w:val="0"/>
                <w:i w:val="0"/>
                <w:sz w:val="18"/>
              </w:rPr>
              <w:t>0</w:t>
            </w:r>
          </w:p>
        </w:tc>
        <w:tc>
          <w:tcPr>
            <w:tcW w:type="dxa" w:w="2001"/>
          </w:tcPr>
          <w:p>
            <w:pPr>
              <w:spacing w:after="20" w:line="240" w:lineRule="auto"/>
              <w:jc w:val="center"/>
            </w:pPr>
            <w:r/>
            <w:r>
              <w:rPr>
                <w:b w:val="0"/>
                <w:i w:val="0"/>
                <w:sz w:val="18"/>
              </w:rPr>
              <w:t>0</w:t>
            </w:r>
          </w:p>
        </w:tc>
        <w:tc>
          <w:tcPr>
            <w:tcW w:type="dxa" w:w="2001"/>
          </w:tcPr>
          <w:p>
            <w:pPr>
              <w:spacing w:after="20" w:line="240" w:lineRule="auto"/>
              <w:jc w:val="center"/>
            </w:pPr>
            <w:r/>
            <w:r>
              <w:rPr>
                <w:b w:val="0"/>
                <w:i w:val="0"/>
                <w:sz w:val="18"/>
              </w:rPr>
              <w:t>0</w:t>
            </w:r>
          </w:p>
        </w:tc>
      </w:tr>
      <w:tr>
        <w:trPr>
          <w:cantSplit w:val="true"/>
        </w:trPr>
        <w:tc>
          <w:tcPr>
            <w:tcW w:type="dxa" w:w="3969"/>
          </w:tcPr>
          <w:p>
            <w:pPr>
              <w:spacing w:after="20" w:line="240" w:lineRule="auto"/>
            </w:pPr>
            <w:r/>
            <w:r>
              <w:rPr>
                <w:b w:val="0"/>
                <w:i w:val="0"/>
                <w:sz w:val="18"/>
              </w:rPr>
              <w:t>New-onset potential immune-mediated disease</w:t>
            </w:r>
          </w:p>
        </w:tc>
        <w:tc>
          <w:tcPr>
            <w:tcW w:type="dxa" w:w="2001"/>
          </w:tcPr>
          <w:p>
            <w:pPr>
              <w:spacing w:after="20" w:line="240" w:lineRule="auto"/>
              <w:jc w:val="center"/>
            </w:pPr>
            <w:r/>
            <w:r>
              <w:rPr>
                <w:b w:val="0"/>
                <w:i w:val="0"/>
                <w:sz w:val="18"/>
              </w:rPr>
              <w:t>0</w:t>
            </w:r>
          </w:p>
        </w:tc>
        <w:tc>
          <w:tcPr>
            <w:tcW w:type="dxa" w:w="2001"/>
          </w:tcPr>
          <w:p>
            <w:pPr>
              <w:spacing w:after="20" w:line="240" w:lineRule="auto"/>
              <w:jc w:val="center"/>
            </w:pPr>
            <w:r/>
            <w:r>
              <w:rPr>
                <w:b w:val="0"/>
                <w:i w:val="0"/>
                <w:sz w:val="18"/>
              </w:rPr>
              <w:t>1</w:t>
            </w:r>
          </w:p>
        </w:tc>
        <w:tc>
          <w:tcPr>
            <w:tcW w:type="dxa" w:w="2001"/>
          </w:tcPr>
          <w:p>
            <w:pPr>
              <w:spacing w:after="20" w:line="240" w:lineRule="auto"/>
              <w:jc w:val="center"/>
            </w:pPr>
            <w:r/>
            <w:r>
              <w:rPr>
                <w:b w:val="0"/>
                <w:i w:val="0"/>
                <w:sz w:val="18"/>
              </w:rPr>
              <w:t>0</w:t>
            </w:r>
          </w:p>
        </w:tc>
      </w:tr>
      <w:tr>
        <w:trPr>
          <w:cantSplit w:val="true"/>
        </w:trPr>
        <w:tc>
          <w:tcPr>
            <w:tcW w:type="dxa" w:w="3969"/>
          </w:tcPr>
          <w:p>
            <w:pPr>
              <w:spacing w:after="20" w:line="240" w:lineRule="auto"/>
            </w:pPr>
            <w:r/>
            <w:r>
              <w:rPr>
                <w:b w:val="0"/>
                <w:i w:val="0"/>
                <w:sz w:val="18"/>
              </w:rPr>
              <w:t>Anaphylaxis within 24 hours of vaccination</w:t>
            </w:r>
          </w:p>
        </w:tc>
        <w:tc>
          <w:tcPr>
            <w:tcW w:type="dxa" w:w="2001"/>
          </w:tcPr>
          <w:p>
            <w:pPr>
              <w:spacing w:after="20" w:line="240" w:lineRule="auto"/>
              <w:jc w:val="center"/>
            </w:pPr>
            <w:r/>
            <w:r>
              <w:rPr>
                <w:b w:val="0"/>
                <w:i w:val="0"/>
                <w:sz w:val="18"/>
              </w:rPr>
              <w:t>0</w:t>
            </w:r>
          </w:p>
        </w:tc>
        <w:tc>
          <w:tcPr>
            <w:tcW w:type="dxa" w:w="2001"/>
          </w:tcPr>
          <w:p>
            <w:pPr>
              <w:spacing w:after="20" w:line="240" w:lineRule="auto"/>
              <w:jc w:val="center"/>
            </w:pPr>
            <w:r/>
            <w:r>
              <w:rPr>
                <w:b w:val="0"/>
                <w:i w:val="0"/>
                <w:sz w:val="18"/>
              </w:rPr>
              <w:t>0</w:t>
            </w:r>
          </w:p>
        </w:tc>
        <w:tc>
          <w:tcPr>
            <w:tcW w:type="dxa" w:w="2001"/>
          </w:tcPr>
          <w:p>
            <w:pPr>
              <w:spacing w:after="20" w:line="240" w:lineRule="auto"/>
              <w:jc w:val="center"/>
            </w:pPr>
            <w:r/>
            <w:r>
              <w:rPr>
                <w:b w:val="0"/>
                <w:i w:val="0"/>
                <w:sz w:val="18"/>
              </w:rPr>
              <w:t>0</w:t>
            </w:r>
          </w:p>
        </w:tc>
      </w:tr>
      <w:tr>
        <w:trPr>
          <w:cantSplit w:val="true"/>
        </w:trPr>
        <w:tc>
          <w:tcPr>
            <w:tcW w:type="dxa" w:w="3969"/>
          </w:tcPr>
          <w:p>
            <w:pPr>
              <w:spacing w:after="20" w:line="240" w:lineRule="auto"/>
            </w:pPr>
            <w:r/>
            <w:r>
              <w:rPr>
                <w:b w:val="0"/>
                <w:i w:val="0"/>
                <w:sz w:val="18"/>
              </w:rPr>
              <w:t>Guillain-Barré syndrome</w:t>
            </w:r>
          </w:p>
        </w:tc>
        <w:tc>
          <w:tcPr>
            <w:tcW w:type="dxa" w:w="2001"/>
          </w:tcPr>
          <w:p>
            <w:pPr>
              <w:spacing w:after="20" w:line="240" w:lineRule="auto"/>
              <w:jc w:val="center"/>
            </w:pPr>
            <w:r/>
            <w:r>
              <w:rPr>
                <w:b w:val="0"/>
                <w:i w:val="0"/>
                <w:sz w:val="18"/>
              </w:rPr>
              <w:t>0</w:t>
            </w:r>
          </w:p>
        </w:tc>
        <w:tc>
          <w:tcPr>
            <w:tcW w:type="dxa" w:w="2001"/>
          </w:tcPr>
          <w:p>
            <w:pPr>
              <w:spacing w:after="20" w:line="240" w:lineRule="auto"/>
              <w:jc w:val="center"/>
            </w:pPr>
            <w:r/>
            <w:r>
              <w:rPr>
                <w:b w:val="0"/>
                <w:i w:val="0"/>
                <w:sz w:val="18"/>
              </w:rPr>
              <w:t>0</w:t>
            </w:r>
          </w:p>
        </w:tc>
        <w:tc>
          <w:tcPr>
            <w:tcW w:type="dxa" w:w="2001"/>
          </w:tcPr>
          <w:p>
            <w:pPr>
              <w:spacing w:after="20" w:line="240" w:lineRule="auto"/>
              <w:jc w:val="center"/>
            </w:pPr>
            <w:r/>
            <w:r>
              <w:rPr>
                <w:b w:val="0"/>
                <w:i w:val="0"/>
                <w:sz w:val="18"/>
              </w:rPr>
              <w:t>0</w:t>
            </w:r>
          </w:p>
        </w:tc>
      </w:tr>
      <w:tr>
        <w:trPr>
          <w:cantSplit w:val="true"/>
        </w:trPr>
        <w:tc>
          <w:tcPr>
            <w:tcW w:type="dxa" w:w="3969"/>
          </w:tcPr>
          <w:p>
            <w:pPr>
              <w:spacing w:after="20" w:line="240" w:lineRule="auto"/>
            </w:pPr>
            <w:r/>
            <w:r>
              <w:rPr>
                <w:b w:val="0"/>
                <w:i w:val="0"/>
                <w:sz w:val="18"/>
              </w:rPr>
              <w:t>Acute disseminated encephalomyelitis</w:t>
            </w:r>
          </w:p>
        </w:tc>
        <w:tc>
          <w:tcPr>
            <w:tcW w:type="dxa" w:w="2001"/>
          </w:tcPr>
          <w:p>
            <w:pPr>
              <w:spacing w:after="20" w:line="240" w:lineRule="auto"/>
              <w:jc w:val="center"/>
            </w:pPr>
            <w:r/>
            <w:r>
              <w:rPr>
                <w:b w:val="0"/>
                <w:i w:val="0"/>
                <w:sz w:val="18"/>
              </w:rPr>
              <w:t>0</w:t>
            </w:r>
          </w:p>
        </w:tc>
        <w:tc>
          <w:tcPr>
            <w:tcW w:type="dxa" w:w="2001"/>
          </w:tcPr>
          <w:p>
            <w:pPr>
              <w:spacing w:after="20" w:line="240" w:lineRule="auto"/>
              <w:jc w:val="center"/>
            </w:pPr>
            <w:r/>
            <w:r>
              <w:rPr>
                <w:b w:val="0"/>
                <w:i w:val="0"/>
                <w:sz w:val="18"/>
              </w:rPr>
              <w:t>0</w:t>
            </w:r>
          </w:p>
        </w:tc>
        <w:tc>
          <w:tcPr>
            <w:tcW w:type="dxa" w:w="2001"/>
          </w:tcPr>
          <w:p>
            <w:pPr>
              <w:spacing w:after="20" w:line="240" w:lineRule="auto"/>
              <w:jc w:val="center"/>
            </w:pPr>
            <w:r/>
            <w:r>
              <w:rPr>
                <w:b w:val="0"/>
                <w:i w:val="0"/>
                <w:sz w:val="18"/>
              </w:rPr>
              <w:t>0</w:t>
            </w:r>
          </w:p>
        </w:tc>
      </w:tr>
    </w:tbl>
    <w:p>
      <w:pPr>
        <w:spacing w:after="40"/>
      </w:pPr>
    </w:p>
    <w:p>
      <w:r>
        <w:rPr>
          <w:i w:val="0"/>
        </w:rPr>
        <w:t>The one potential immune-mediated disease was autoimmune thyroiditis diagnosed on Day 163 in a high-dose subject with antithyroid peroxidase antibodies at baseline; it was assessed as not related. Two subjects did not receive dose 2 because of an adverse event: the low-dose subject with the ankle fracture, and a high-dose subject with grade 3 fever and malaise after dose 1 that resolved within two days. Both stayed in follow-up. Hematology and chemistry on Days 1, 8 and 36 in a subset of 120 subjects, and vital signs in all subjects, showed no clinically relevant changes.</w:t>
      </w:r>
    </w:p>
    <w:p>
      <w:pPr>
        <w:pStyle w:val="Heading2"/>
      </w:pPr>
      <w:r>
        <w:t>4. Conclusions of the report</w:t>
      </w:r>
    </w:p>
    <w:p>
      <w:r>
        <w:rPr>
          <w:i w:val="0"/>
        </w:rPr>
        <w:t>Both dose levels of VD-12 were immunogenic, with responses that exceeded the levels associated with protection for licensed vaccines against related pathogens. Solicited reactions were mostly mild to moderate and short-lived, and more frequent after dose 2 and at the high dose. No vaccine-related serious adverse event occurred, and adverse events of special interest showed no imbalance. No new safety concern was identified. The results support the low dose selected for the Phase 3 trials VD-301 and VD-302.</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Companion material to Writing the DSUR (Selim Medical Press). Fictional data. Not regulatory advice. CC BY-NC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 w:eastAsiaTheme="majorEastAsia" w:hAnsiTheme="majorHAnsi" w:cstheme="majorBidi" w:ascii="Calibri" w:hAnsi="Calibri"/>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