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55555"/>
          <w:sz w:val="17"/>
        </w:rPr>
        <w:t>CHAPTER 9 · WORKSHEET</w:t>
      </w:r>
    </w:p>
    <w:p>
      <w:pPr>
        <w:pStyle w:val="Heading1"/>
      </w:pPr>
      <w:r>
        <w:t>Section 8 Findings Classification Worksheet</w:t>
      </w:r>
    </w:p>
    <w:p>
      <w:r>
        <w:rPr>
          <w:i/>
          <w:color w:val="555555"/>
          <w:sz w:val="19"/>
        </w:rPr>
        <w:t>Classify every finding before you write it (9.2, Figure 9.1). The category decides how much space the finding gets and which other sections it must reach. One row per finding.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685"/>
        <w:gridCol w:w="3685"/>
        <w:gridCol w:w="4388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Finding type</w:t>
            </w:r>
          </w:p>
        </w:tc>
        <w:tc>
          <w:tcPr>
            <w:tcW w:type="dxa" w:w="3685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What it means</w:t>
            </w:r>
          </w:p>
        </w:tc>
        <w:tc>
          <w:tcPr>
            <w:tcW w:type="dxa" w:w="3685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How to write it</w:t>
            </w:r>
          </w:p>
        </w:tc>
        <w:tc>
          <w:tcPr>
            <w:tcW w:type="dxa" w:w="4388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Where it flows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New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Not previously known or characterized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Describe fully; state how strong the evidence is</w:t>
            </w:r>
          </w:p>
        </w:tc>
        <w:tc>
          <w:tcPr>
            <w:tcW w:type="dxa" w:w="438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Section 18.1; Section 19 if important; Sections 3 or 4 if acted on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Confirmatory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Supports a known risk without changing its character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One or two sentences with updated numbers</w:t>
            </w:r>
          </w:p>
        </w:tc>
        <w:tc>
          <w:tcPr>
            <w:tcW w:type="dxa" w:w="438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Update the Section 19 entry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Refuting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Weakens or contradicts a known or suspected risk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Say what changed and why</w:t>
            </w:r>
          </w:p>
        </w:tc>
        <w:tc>
          <w:tcPr>
            <w:tcW w:type="dxa" w:w="438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Section 19, kept and marked as resolved where appropriate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Not informative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Too few data, or confounded</w:t>
            </w:r>
          </w:p>
        </w:tc>
        <w:tc>
          <w:tcPr>
            <w:tcW w:type="dxa" w:w="368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Say so briefly, and what would resolve it</w:t>
            </w:r>
          </w:p>
        </w:tc>
        <w:tc>
          <w:tcPr>
            <w:tcW w:type="dxa" w:w="438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Section 18 as a watch item</w:t>
            </w:r>
          </w:p>
        </w:tc>
      </w:tr>
    </w:tbl>
    <w:p>
      <w:pPr>
        <w:spacing w:after="40"/>
      </w:pPr>
    </w:p>
    <w:p>
      <w:r>
        <w:rPr>
          <w:i w:val="0"/>
          <w:sz w:val="19"/>
        </w:rPr>
        <w:t>DSUR: ______________________   Period: ______________________   Completed by: ______________________   Date: 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3175"/>
        <w:gridCol w:w="1701"/>
        <w:gridCol w:w="1701"/>
        <w:gridCol w:w="2268"/>
        <w:gridCol w:w="1701"/>
        <w:gridCol w:w="1701"/>
        <w:gridCol w:w="873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#</w:t>
            </w:r>
          </w:p>
        </w:tc>
        <w:tc>
          <w:tcPr>
            <w:tcW w:type="dxa" w:w="3175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Finding (one sentence, with numbers)</w:t>
            </w:r>
          </w:p>
        </w:tc>
        <w:tc>
          <w:tcPr>
            <w:tcW w:type="dxa" w:w="1701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Source: trial and subsection (8.1 to 8.5)</w:t>
            </w:r>
          </w:p>
        </w:tc>
        <w:tc>
          <w:tcPr>
            <w:tcW w:type="dxa" w:w="1701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Category (new / confirmatory / refuting / not informative)</w:t>
            </w:r>
          </w:p>
        </w:tc>
        <w:tc>
          <w:tcPr>
            <w:tcW w:type="dxa" w:w="2268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Why this category</w:t>
            </w:r>
          </w:p>
        </w:tc>
        <w:tc>
          <w:tcPr>
            <w:tcW w:type="dxa" w:w="1701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Strength of evidence</w:t>
            </w:r>
          </w:p>
        </w:tc>
        <w:tc>
          <w:tcPr>
            <w:tcW w:type="dxa" w:w="1701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Carried to (18.1, 18.2, 19, 3, 4, 20)</w:t>
            </w:r>
          </w:p>
        </w:tc>
        <w:tc>
          <w:tcPr>
            <w:tcW w:type="dxa" w:w="873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Done</w:t>
            </w:r>
          </w:p>
        </w:tc>
      </w:tr>
      <w:tr>
        <w:trPr>
          <w:cantSplit w:val="true"/>
          <w:trHeight w:val="624"/>
        </w:trPr>
        <w:tc>
          <w:tcPr>
            <w:tcW w:type="dxa" w:w="45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73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  <w:trHeight w:val="624"/>
        </w:trPr>
        <w:tc>
          <w:tcPr>
            <w:tcW w:type="dxa" w:w="45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73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  <w:trHeight w:val="624"/>
        </w:trPr>
        <w:tc>
          <w:tcPr>
            <w:tcW w:type="dxa" w:w="45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73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  <w:trHeight w:val="624"/>
        </w:trPr>
        <w:tc>
          <w:tcPr>
            <w:tcW w:type="dxa" w:w="45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73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  <w:trHeight w:val="624"/>
        </w:trPr>
        <w:tc>
          <w:tcPr>
            <w:tcW w:type="dxa" w:w="45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73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  <w:trHeight w:val="624"/>
        </w:trPr>
        <w:tc>
          <w:tcPr>
            <w:tcW w:type="dxa" w:w="45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73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  <w:trHeight w:val="624"/>
        </w:trPr>
        <w:tc>
          <w:tcPr>
            <w:tcW w:type="dxa" w:w="45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73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  <w:trHeight w:val="624"/>
        </w:trPr>
        <w:tc>
          <w:tcPr>
            <w:tcW w:type="dxa" w:w="454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73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</w:tbl>
    <w:p>
      <w:pPr>
        <w:spacing w:after="40"/>
      </w:pPr>
    </w:p>
    <w:p>
      <w:pPr>
        <w:pStyle w:val="Heading2"/>
      </w:pPr>
      <w:r>
        <w:t>Before you write Section 8</w:t>
      </w:r>
    </w:p>
    <w:p>
      <w:pPr>
        <w:spacing w:after="40"/>
      </w:pPr>
      <w:r>
        <w:t>☐  Each trial is in the right subsection: a trial is completed only when its clinical study report is final (9.1).</w:t>
      </w:r>
    </w:p>
    <w:p>
      <w:pPr>
        <w:spacing w:after="40"/>
      </w:pPr>
      <w:r>
        <w:t>☐  Each finding is classified as new, confirmatory, refuting or not informative.</w:t>
      </w:r>
    </w:p>
    <w:p>
      <w:pPr>
        <w:spacing w:after="40"/>
      </w:pPr>
      <w:r>
        <w:t>☐  Ongoing-trial information is limited to DMC outcomes, cases unblinded for expedited reporting and planned interim analyses (9.4, 9.11).</w:t>
      </w:r>
    </w:p>
    <w:p>
      <w:pPr>
        <w:spacing w:after="40"/>
      </w:pPr>
      <w:r>
        <w:t>☐  Long-term follow-up is reported with subject-time, including the absence of expected delayed events (9.5).</w:t>
      </w:r>
    </w:p>
    <w:p>
      <w:pPr>
        <w:spacing w:after="40"/>
      </w:pPr>
      <w:r>
        <w:t>☐  Other therapeutic use states how many patients, at what dose, for how long, and how reporting was solicited (9.6, 9.9).</w:t>
      </w:r>
    </w:p>
    <w:p>
      <w:pPr>
        <w:spacing w:after="40"/>
      </w:pPr>
      <w:r>
        <w:t>☐  Efficacy appears only where it bears on Section 18.2 or on subjects' safety (9.10).</w:t>
      </w:r>
    </w:p>
    <w:p>
      <w:pPr>
        <w:spacing w:after="40"/>
      </w:pPr>
      <w:r>
        <w:t>☐  Every new or refuting finding appears in Section 18, and in Section 19 if it concerns an important risk.</w:t>
      </w:r>
    </w:p>
    <w:sectPr w:rsidR="00FC693F" w:rsidRPr="0006063C" w:rsidSect="00034616">
      <w:footerReference w:type="default" r:id="rId9"/>
      <w:pgSz w:w="15840" w:h="12240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Companion material to Writing the DSUR (Selim Medical Press). Fictional data. Not regulatory advice. CC BY-NC 4.0.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" w:eastAsiaTheme="majorEastAsia" w:hAnsiTheme="majorHAnsi" w:cstheme="majorBidi" w:ascii="Calibri" w:hAnsi="Calibri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