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555555"/>
          <w:sz w:val="17"/>
        </w:rPr>
        <w:t>CHAPTER 10 · WORKSHEET</w:t>
      </w:r>
    </w:p>
    <w:p>
      <w:pPr>
        <w:pStyle w:val="Heading1"/>
      </w:pPr>
      <w:r>
        <w:t>Section 18.1 Issue Worksheet</w:t>
      </w:r>
    </w:p>
    <w:p>
      <w:r>
        <w:rPr>
          <w:i/>
          <w:color w:val="555555"/>
          <w:sz w:val="19"/>
        </w:rPr>
        <w:t>Use one worksheet for each issue on the list agreed at the key messages review. Work the five steps in order (10.2, Figure 10.1). Steps 1 to 3 digest the evidence; Step 4 is where recap-style drafts stop short; Step 5 ends the issue in an action or in a documented statement that the risk picture has not changed. Part B covers the remaining E2F points to consider.</w:t>
      </w:r>
    </w:p>
    <w:p>
      <w:pPr>
        <w:pStyle w:val="Heading2"/>
      </w:pPr>
      <w:r>
        <w:t>Part A. One issue, five steps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7137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Field</w:t>
            </w:r>
          </w:p>
        </w:tc>
        <w:tc>
          <w:tcPr>
            <w:tcW w:type="dxa" w:w="7137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Entry</w:t>
            </w:r>
          </w:p>
        </w:tc>
      </w:tr>
      <w:tr>
        <w:trPr>
          <w:cantSplit w:val="true"/>
          <w:trHeight w:val="397"/>
        </w:trPr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Product, DSUR and period</w:t>
            </w:r>
          </w:p>
        </w:tc>
        <w:tc>
          <w:tcPr>
            <w:tcW w:type="dxa" w:w="713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397"/>
        </w:trPr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Issue</w:t>
            </w:r>
          </w:p>
        </w:tc>
        <w:tc>
          <w:tcPr>
            <w:tcW w:type="dxa" w:w="713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397"/>
        </w:trPr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Why it is on the list (10.3)</w:t>
            </w:r>
          </w:p>
        </w:tc>
        <w:tc>
          <w:tcPr>
            <w:tcW w:type="dxa" w:w="713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☐ New in the period (signal, finding from Sections 8 to 15, Section 17 item)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8"/>
              </w:rPr>
              <w:t>☐ Important identified or potential risk with new information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8"/>
              </w:rPr>
              <w:t>☐ Acted on (Section 3, 4 or 17)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8"/>
              </w:rPr>
              <w:t>☐ E2F point to consider with something to say</w:t>
            </w:r>
          </w:p>
        </w:tc>
      </w:tr>
      <w:tr>
        <w:trPr>
          <w:cantSplit w:val="true"/>
          <w:trHeight w:val="397"/>
        </w:trPr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Section 19 risk and status</w:t>
            </w:r>
          </w:p>
        </w:tc>
        <w:tc>
          <w:tcPr>
            <w:tcW w:type="dxa" w:w="713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397"/>
        </w:trPr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Source sections and appendices</w:t>
            </w:r>
          </w:p>
        </w:tc>
        <w:tc>
          <w:tcPr>
            <w:tcW w:type="dxa" w:w="713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397"/>
        </w:trPr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Owner; date agreed at key messages review</w:t>
            </w:r>
          </w:p>
        </w:tc>
        <w:tc>
          <w:tcPr>
            <w:tcW w:type="dxa" w:w="713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</w:tcPr>
          <w:p>
            <w:r/>
            <w:r>
              <w:rPr>
                <w:b/>
                <w:color w:val="1F3A5F"/>
                <w:sz w:val="19"/>
              </w:rPr>
              <w:t>Step 1: Observed</w:t>
            </w:r>
          </w:p>
          <w:p>
            <w:r>
              <w:rPr>
                <w:i/>
                <w:color w:val="555555"/>
                <w:sz w:val="19"/>
              </w:rPr>
              <w:t>What do the data show, for the interval and cumulatively, with denominators? A count is an observation only when it is attached to the exposure in which it occurred (number of subjects, subject-years).</w:t>
            </w:r>
          </w:p>
          <w:p/>
          <w:p/>
        </w:tc>
      </w:tr>
    </w:tbl>
    <w:p>
      <w:pPr>
        <w:spacing w:after="40"/>
      </w:pPr>
    </w:p>
    <w:p>
      <w:r>
        <w:rPr>
          <w:b/>
          <w:i w:val="0"/>
          <w:color w:val="1F3A5F"/>
          <w:sz w:val="20"/>
        </w:rPr>
        <w:t>Step 2: Compared</w:t>
      </w:r>
    </w:p>
    <w:p>
      <w:r>
        <w:rPr>
          <w:i/>
          <w:color w:val="555555"/>
          <w:sz w:val="18"/>
        </w:rPr>
        <w:t>Compare the observation with at least one reference, and say which comparison you used and why.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268"/>
        <w:gridCol w:w="1814"/>
        <w:gridCol w:w="3282"/>
      </w:tblGrid>
      <w:tr>
        <w:trPr>
          <w:tblHeader w:val="true"/>
          <w:cantSplit w:val="true"/>
        </w:trPr>
        <w:tc>
          <w:tcPr>
            <w:tcW w:type="dxa" w:w="2608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Reference</w:t>
            </w:r>
          </w:p>
        </w:tc>
        <w:tc>
          <w:tcPr>
            <w:tcW w:type="dxa" w:w="2268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Count or rate (with denominator)</w:t>
            </w:r>
          </w:p>
        </w:tc>
        <w:tc>
          <w:tcPr>
            <w:tcW w:type="dxa" w:w="1814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Source</w:t>
            </w:r>
          </w:p>
        </w:tc>
        <w:tc>
          <w:tcPr>
            <w:tcW w:type="dxa" w:w="3282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Why this comparison, and its limits</w:t>
            </w:r>
          </w:p>
        </w:tc>
      </w:tr>
      <w:tr>
        <w:trPr>
          <w:cantSplit w:val="true"/>
          <w:trHeight w:val="454"/>
        </w:trPr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Previous DSURs and the IB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282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454"/>
        </w:trPr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Comparator arm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282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454"/>
        </w:trPr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Background rate (matched by age and setting; cited)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282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454"/>
        </w:trPr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Drug class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282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</w:tcPr>
          <w:p>
            <w:r/>
            <w:r>
              <w:rPr>
                <w:b/>
                <w:color w:val="1F3A5F"/>
                <w:sz w:val="19"/>
              </w:rPr>
              <w:t>Step 3: Explained</w:t>
            </w:r>
          </w:p>
          <w:p>
            <w:r>
              <w:rPr>
                <w:i/>
                <w:color w:val="555555"/>
                <w:sz w:val="19"/>
              </w:rPr>
              <w:t>What else could explain it: the underlying disease, concomitant medication, age and comorbidity, the study population, reporting artifacts, chance? What supports a drug effect: plausibility, relation to dose or duration, timing, dechallenge and rechallenge?</w:t>
            </w:r>
          </w:p>
          <w:p/>
          <w:p/>
        </w:tc>
      </w:tr>
    </w:tbl>
    <w:p>
      <w:pPr>
        <w:spacing w:after="40"/>
      </w:pPr>
    </w:p>
    <w:p>
      <w:r>
        <w:rPr>
          <w:b/>
          <w:i w:val="0"/>
          <w:color w:val="1F3A5F"/>
          <w:sz w:val="20"/>
        </w:rPr>
        <w:t>Step 4: Implication</w:t>
      </w:r>
    </w:p>
    <w:p>
      <w:r>
        <w:rPr>
          <w:i/>
          <w:color w:val="555555"/>
          <w:sz w:val="18"/>
        </w:rPr>
        <w:t>What does the finding mean? This is the step that answers the DSUR's central question.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7364"/>
      </w:tblGrid>
      <w:tr>
        <w:trPr>
          <w:tblHeader w:val="true"/>
          <w:cantSplit w:val="true"/>
        </w:trPr>
        <w:tc>
          <w:tcPr>
            <w:tcW w:type="dxa" w:w="2608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For</w:t>
            </w:r>
          </w:p>
        </w:tc>
        <w:tc>
          <w:tcPr>
            <w:tcW w:type="dxa" w:w="7364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Implication</w:t>
            </w:r>
          </w:p>
        </w:tc>
      </w:tr>
      <w:tr>
        <w:trPr>
          <w:cantSplit w:val="true"/>
          <w:trHeight w:val="510"/>
        </w:trPr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Subjects in the trials now</w:t>
            </w:r>
          </w:p>
        </w:tc>
        <w:tc>
          <w:tcPr>
            <w:tcW w:type="dxa" w:w="736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510"/>
        </w:trPr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Subjects who will enroll</w:t>
            </w:r>
          </w:p>
        </w:tc>
        <w:tc>
          <w:tcPr>
            <w:tcW w:type="dxa" w:w="736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510"/>
        </w:trPr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The development program</w:t>
            </w:r>
          </w:p>
        </w:tc>
        <w:tc>
          <w:tcPr>
            <w:tcW w:type="dxa" w:w="736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i w:val="0"/>
          <w:color w:val="1F3A5F"/>
          <w:sz w:val="20"/>
        </w:rPr>
        <w:t>Step 5: Act, or state consistency</w:t>
      </w:r>
    </w:p>
    <w:p>
      <w:r>
        <w:rPr>
          <w:i/>
          <w:color w:val="555555"/>
          <w:sz w:val="18"/>
        </w:rPr>
        <w:t>If the risk picture changed, say what was done or will be done. If it did not, say so and cite the evidence. "No change" is a legitimate conclusion only when it is earned.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28"/>
        <w:gridCol w:w="1814"/>
        <w:gridCol w:w="1361"/>
        <w:gridCol w:w="3169"/>
      </w:tblGrid>
      <w:tr>
        <w:trPr>
          <w:tblHeader w:val="true"/>
          <w:cantSplit w:val="true"/>
        </w:trPr>
        <w:tc>
          <w:tcPr>
            <w:tcW w:type="dxa" w:w="3628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Action</w:t>
            </w:r>
          </w:p>
        </w:tc>
        <w:tc>
          <w:tcPr>
            <w:tcW w:type="dxa" w:w="1814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Done or planned?</w:t>
            </w:r>
          </w:p>
        </w:tc>
        <w:tc>
          <w:tcPr>
            <w:tcW w:type="dxa" w:w="1361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Date</w:t>
            </w:r>
          </w:p>
        </w:tc>
        <w:tc>
          <w:tcPr>
            <w:tcW w:type="dxa" w:w="3169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Reported in</w:t>
            </w:r>
          </w:p>
        </w:tc>
      </w:tr>
      <w:tr>
        <w:trPr>
          <w:cantSplit w:val="true"/>
          <w:trHeight w:val="397"/>
        </w:trPr>
        <w:tc>
          <w:tcPr>
            <w:tcW w:type="dxa" w:w="362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IB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6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Section 4</w:t>
            </w:r>
          </w:p>
        </w:tc>
      </w:tr>
      <w:tr>
        <w:trPr>
          <w:cantSplit w:val="true"/>
          <w:trHeight w:val="397"/>
        </w:trPr>
        <w:tc>
          <w:tcPr>
            <w:tcW w:type="dxa" w:w="362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Protocol (eligibility, monitoring, stopping rules)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6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Section 3, or 17 if after the DLP</w:t>
            </w:r>
          </w:p>
        </w:tc>
      </w:tr>
      <w:tr>
        <w:trPr>
          <w:cantSplit w:val="true"/>
          <w:trHeight w:val="397"/>
        </w:trPr>
        <w:tc>
          <w:tcPr>
            <w:tcW w:type="dxa" w:w="362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Consent forms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6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Section 3</w:t>
            </w:r>
          </w:p>
        </w:tc>
      </w:tr>
      <w:tr>
        <w:trPr>
          <w:cantSplit w:val="true"/>
          <w:trHeight w:val="397"/>
        </w:trPr>
        <w:tc>
          <w:tcPr>
            <w:tcW w:type="dxa" w:w="362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Section 19 entry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6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Section 19</w:t>
            </w:r>
          </w:p>
        </w:tc>
      </w:tr>
      <w:tr>
        <w:trPr>
          <w:cantSplit w:val="true"/>
          <w:trHeight w:val="397"/>
        </w:trPr>
        <w:tc>
          <w:tcPr>
            <w:tcW w:type="dxa" w:w="362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Planned action for Section 20 (what, which document or trial, by when)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6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Section 20</w:t>
            </w:r>
          </w:p>
        </w:tc>
      </w:tr>
      <w:tr>
        <w:trPr>
          <w:cantSplit w:val="true"/>
          <w:trHeight w:val="397"/>
        </w:trPr>
        <w:tc>
          <w:tcPr>
            <w:tcW w:type="dxa" w:w="362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No change: evidence cited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6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Section 18.1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</w:tcPr>
          <w:p>
            <w:r/>
            <w:r>
              <w:rPr>
                <w:b/>
                <w:color w:val="1F3A5F"/>
                <w:sz w:val="19"/>
              </w:rPr>
              <w:t>Draft paragraph for Section 18.1</w:t>
            </w:r>
          </w:p>
          <w:p/>
          <w:p/>
          <w:p/>
          <w:p/>
          <w:p/>
        </w:tc>
      </w:tr>
    </w:tbl>
    <w:p>
      <w:pPr>
        <w:spacing w:after="40"/>
      </w:pPr>
    </w:p>
    <w:p>
      <w:r>
        <w:rPr>
          <w:b/>
          <w:i w:val="0"/>
          <w:color w:val="1F3A5F"/>
          <w:sz w:val="20"/>
        </w:rPr>
        <w:t>Check the paragraph (10.10)</w:t>
      </w:r>
    </w:p>
    <w:p>
      <w:pPr>
        <w:spacing w:after="40"/>
      </w:pPr>
      <w:r>
        <w:t>☐  It interprets: it could not move to Sections 7 to 17 without loss.</w:t>
      </w:r>
    </w:p>
    <w:p>
      <w:pPr>
        <w:spacing w:after="40"/>
      </w:pPr>
      <w:r>
        <w:t>☐  Every count has a denominator, and every comparison names its reference.</w:t>
      </w:r>
    </w:p>
    <w:p>
      <w:pPr>
        <w:spacing w:after="40"/>
      </w:pPr>
      <w:r>
        <w:t>☐  Uncertainty is stated, especially for few events, blinded data or unblinded individual cases.</w:t>
      </w:r>
    </w:p>
    <w:p>
      <w:pPr>
        <w:spacing w:after="40"/>
      </w:pPr>
      <w:r>
        <w:t>☐  It ends in an implication for current subjects, future subjects and the program.</w:t>
      </w:r>
    </w:p>
    <w:p>
      <w:pPr>
        <w:spacing w:after="40"/>
      </w:pPr>
      <w:r>
        <w:t>☐  Every related item from Sections 3, 4, 12, 13, 15 and 17 is explained.</w:t>
      </w:r>
    </w:p>
    <w:p>
      <w:pPr>
        <w:spacing w:after="40"/>
      </w:pPr>
      <w:r>
        <w:t>☐  The wording says exactly what the evidence supports (Part C).</w:t>
      </w:r>
    </w:p>
    <w:p>
      <w:r>
        <w:br w:type="page"/>
      </w:r>
    </w:p>
    <w:p>
      <w:pPr>
        <w:pStyle w:val="Heading2"/>
      </w:pPr>
      <w:r>
        <w:t>Part B. Other points considered</w:t>
      </w:r>
    </w:p>
    <w:p>
      <w:r>
        <w:rPr>
          <w:i/>
          <w:color w:val="555555"/>
          <w:sz w:val="19"/>
        </w:rPr>
        <w:t>After the main issues, show that the rest of the E2F list was considered (E2F §3.18.1; 10.6, 10.9). One line per point, each conclusion resting on evidence the reader can see. "No conclusion possible" is a legitimate entry when the data cannot answer the question.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4643"/>
        <w:gridCol w:w="2268"/>
      </w:tblGrid>
      <w:tr>
        <w:trPr>
          <w:tblHeader w:val="true"/>
          <w:cantSplit w:val="true"/>
        </w:trPr>
        <w:tc>
          <w:tcPr>
            <w:tcW w:type="dxa" w:w="3061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Point considered</w:t>
            </w:r>
          </w:p>
        </w:tc>
        <w:tc>
          <w:tcPr>
            <w:tcW w:type="dxa" w:w="4643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What the data show</w:t>
            </w:r>
          </w:p>
        </w:tc>
        <w:tc>
          <w:tcPr>
            <w:tcW w:type="dxa" w:w="2268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Conclusion</w:t>
            </w:r>
          </w:p>
        </w:tc>
      </w:tr>
      <w:tr>
        <w:trPr>
          <w:cantSplit w:val="true"/>
          <w:trHeight w:val="397"/>
        </w:trPr>
        <w:tc>
          <w:tcPr>
            <w:tcW w:type="dxa" w:w="306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Deaths</w:t>
            </w:r>
          </w:p>
        </w:tc>
        <w:tc>
          <w:tcPr>
            <w:tcW w:type="dxa" w:w="464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397"/>
        </w:trPr>
        <w:tc>
          <w:tcPr>
            <w:tcW w:type="dxa" w:w="306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Discontinuations for adverse events, including abnormal laboratory values</w:t>
            </w:r>
          </w:p>
        </w:tc>
        <w:tc>
          <w:tcPr>
            <w:tcW w:type="dxa" w:w="464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397"/>
        </w:trPr>
        <w:tc>
          <w:tcPr>
            <w:tcW w:type="dxa" w:w="306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Hepatotoxicity</w:t>
            </w:r>
          </w:p>
        </w:tc>
        <w:tc>
          <w:tcPr>
            <w:tcW w:type="dxa" w:w="464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397"/>
        </w:trPr>
        <w:tc>
          <w:tcPr>
            <w:tcW w:type="dxa" w:w="306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Cardiovascular effects, including QT prolongation</w:t>
            </w:r>
          </w:p>
        </w:tc>
        <w:tc>
          <w:tcPr>
            <w:tcW w:type="dxa" w:w="464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397"/>
        </w:trPr>
        <w:tc>
          <w:tcPr>
            <w:tcW w:type="dxa" w:w="306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Bone marrow, pulmonary, renal and central nervous system toxicity</w:t>
            </w:r>
          </w:p>
        </w:tc>
        <w:tc>
          <w:tcPr>
            <w:tcW w:type="dxa" w:w="464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397"/>
        </w:trPr>
        <w:tc>
          <w:tcPr>
            <w:tcW w:type="dxa" w:w="306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Immunogenicity and hypersensitivity</w:t>
            </w:r>
          </w:p>
        </w:tc>
        <w:tc>
          <w:tcPr>
            <w:tcW w:type="dxa" w:w="464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397"/>
        </w:trPr>
        <w:tc>
          <w:tcPr>
            <w:tcW w:type="dxa" w:w="306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Drug–drug and other interactions</w:t>
            </w:r>
          </w:p>
        </w:tc>
        <w:tc>
          <w:tcPr>
            <w:tcW w:type="dxa" w:w="464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397"/>
        </w:trPr>
        <w:tc>
          <w:tcPr>
            <w:tcW w:type="dxa" w:w="306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Nonclinical findings (Section 12)</w:t>
            </w:r>
          </w:p>
        </w:tc>
        <w:tc>
          <w:tcPr>
            <w:tcW w:type="dxa" w:w="464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397"/>
        </w:trPr>
        <w:tc>
          <w:tcPr>
            <w:tcW w:type="dxa" w:w="306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Manufacturing issues that could affect risk</w:t>
            </w:r>
          </w:p>
        </w:tc>
        <w:tc>
          <w:tcPr>
            <w:tcW w:type="dxa" w:w="464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397"/>
        </w:trPr>
        <w:tc>
          <w:tcPr>
            <w:tcW w:type="dxa" w:w="306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Lack of efficacy that would put participants at risk</w:t>
            </w:r>
          </w:p>
        </w:tc>
        <w:tc>
          <w:tcPr>
            <w:tcW w:type="dxa" w:w="464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397"/>
        </w:trPr>
        <w:tc>
          <w:tcPr>
            <w:tcW w:type="dxa" w:w="306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Older subjects; children</w:t>
            </w:r>
          </w:p>
        </w:tc>
        <w:tc>
          <w:tcPr>
            <w:tcW w:type="dxa" w:w="464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397"/>
        </w:trPr>
        <w:tc>
          <w:tcPr>
            <w:tcW w:type="dxa" w:w="306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Hepatic or renal impairment; slow or fast metabolizers</w:t>
            </w:r>
          </w:p>
        </w:tc>
        <w:tc>
          <w:tcPr>
            <w:tcW w:type="dxa" w:w="464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397"/>
        </w:trPr>
        <w:tc>
          <w:tcPr>
            <w:tcW w:type="dxa" w:w="306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Pregnancy and lactation</w:t>
            </w:r>
          </w:p>
        </w:tc>
        <w:tc>
          <w:tcPr>
            <w:tcW w:type="dxa" w:w="464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397"/>
        </w:trPr>
        <w:tc>
          <w:tcPr>
            <w:tcW w:type="dxa" w:w="306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Long-term treatment</w:t>
            </w:r>
          </w:p>
        </w:tc>
        <w:tc>
          <w:tcPr>
            <w:tcW w:type="dxa" w:w="464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397"/>
        </w:trPr>
        <w:tc>
          <w:tcPr>
            <w:tcW w:type="dxa" w:w="306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Medication errors, lack of compliance, overdose, misuse and abuse</w:t>
            </w:r>
          </w:p>
        </w:tc>
        <w:tc>
          <w:tcPr>
            <w:tcW w:type="dxa" w:w="464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397"/>
        </w:trPr>
        <w:tc>
          <w:tcPr>
            <w:tcW w:type="dxa" w:w="306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Risks from protocol procedures or study design</w:t>
            </w:r>
          </w:p>
        </w:tc>
        <w:tc>
          <w:tcPr>
            <w:tcW w:type="dxa" w:w="464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397"/>
        </w:trPr>
        <w:tc>
          <w:tcPr>
            <w:tcW w:type="dxa" w:w="306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Class effects (Section 13)</w:t>
            </w:r>
          </w:p>
        </w:tc>
        <w:tc>
          <w:tcPr>
            <w:tcW w:type="dxa" w:w="464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Part C. Calibrated language (10.8)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4870"/>
        <w:gridCol w:w="2494"/>
      </w:tblGrid>
      <w:tr>
        <w:trPr>
          <w:tblHeader w:val="true"/>
          <w:cantSplit w:val="true"/>
        </w:trPr>
        <w:tc>
          <w:tcPr>
            <w:tcW w:type="dxa" w:w="2608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When the evidence shows</w:t>
            </w:r>
          </w:p>
        </w:tc>
        <w:tc>
          <w:tcPr>
            <w:tcW w:type="dxa" w:w="4870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Write</w:t>
            </w:r>
          </w:p>
        </w:tc>
        <w:tc>
          <w:tcPr>
            <w:tcW w:type="dxa" w:w="2494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Avoid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No difference, adequate data</w:t>
            </w:r>
          </w:p>
        </w:tc>
        <w:tc>
          <w:tcPr>
            <w:tcW w:type="dxa" w:w="4870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"No increase compared with placebo was observed"</w:t>
            </w:r>
          </w:p>
        </w:tc>
        <w:tc>
          <w:tcPr>
            <w:tcW w:type="dxa" w:w="249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"[Drug] does not cause..."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No difference, limited data</w:t>
            </w:r>
          </w:p>
        </w:tc>
        <w:tc>
          <w:tcPr>
            <w:tcW w:type="dxa" w:w="4870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"The data do not suggest an increased risk; a small increase cannot be excluded"</w:t>
            </w:r>
          </w:p>
        </w:tc>
        <w:tc>
          <w:tcPr>
            <w:tcW w:type="dxa" w:w="249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"There is no risk of..."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An association, cause unclear</w:t>
            </w:r>
          </w:p>
        </w:tc>
        <w:tc>
          <w:tcPr>
            <w:tcW w:type="dxa" w:w="4870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"Occurred more frequently with [drug]"</w:t>
            </w:r>
          </w:p>
        </w:tc>
        <w:tc>
          <w:tcPr>
            <w:tcW w:type="dxa" w:w="249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"Caused by [drug]"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A known risk behaving as before</w:t>
            </w:r>
          </w:p>
        </w:tc>
        <w:tc>
          <w:tcPr>
            <w:tcW w:type="dxa" w:w="4870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"Consistent in frequency and nature with previous experience (Section 19)"</w:t>
            </w:r>
          </w:p>
        </w:tc>
        <w:tc>
          <w:tcPr>
            <w:tcW w:type="dxa" w:w="249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"As expected" (without a reference)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A true absence</w:t>
            </w:r>
          </w:p>
        </w:tc>
        <w:tc>
          <w:tcPr>
            <w:tcW w:type="dxa" w:w="4870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"No case of [event] has been reported among [n] subjects ([x] subject-years)"</w:t>
            </w:r>
          </w:p>
        </w:tc>
        <w:tc>
          <w:tcPr>
            <w:tcW w:type="dxa" w:w="249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"Not a concern"</w:t>
            </w:r>
          </w:p>
        </w:tc>
      </w:tr>
    </w:tbl>
    <w:p>
      <w:pPr>
        <w:spacing w:after="40"/>
      </w:pPr>
    </w:p>
    <w:p>
      <w:r>
        <w:rPr>
          <w:i/>
          <w:sz w:val="19"/>
        </w:rPr>
        <w:t>Use "no new safety concerns were identified" at the end of an argument, never in place of one.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Companion material to Writing the DSUR (Selim Medical Press). Fictional data. Not regulatory advice. CC BY-NC 4.0.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" w:eastAsiaTheme="majorEastAsia" w:hAnsiTheme="majorHAnsi" w:cstheme="majorBidi"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" w:eastAsiaTheme="majorEastAsia" w:hAnsiTheme="majorHAnsi" w:cstheme="majorBidi" w:ascii="Calibri" w:hAnsi="Calibri"/>
      <w:b/>
      <w:bCs/>
      <w:color w:val="1F3A5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