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55555"/>
          <w:sz w:val="17"/>
        </w:rPr>
        <w:t>CHAPTER 11 · EXERCISE 1 · EXERCISE MATERIAL</w:t>
      </w:r>
    </w:p>
    <w:p>
      <w:pPr>
        <w:pStyle w:val="Heading1"/>
      </w:pPr>
      <w:r>
        <w:t>ONK-417: A Narrative Section 19 Entry</w:t>
      </w:r>
    </w:p>
    <w:p>
      <w:r>
        <w:rPr>
          <w:i/>
          <w:color w:val="555555"/>
          <w:sz w:val="19"/>
        </w:rPr>
        <w:t>Convert this narrative entry into the four-column tabular format of Section 11.6: risk (status), nonclinical data, clinical data (cumulative, with new information marked *), and measures in the trials. A model answer is in Appendix E.</w:t>
      </w:r>
    </w:p>
    <w:tbl>
      <w:tblPr>
        <w:tblStyle w:val="TableGrid"/>
        <w:tblW w:type="auto" w:w="0"/>
        <w:jc w:val="center"/>
        <w:tblLayout w:type="fixed"/>
        <w:tblLook w:firstColumn="1" w:firstRow="1" w:lastColumn="0" w:lastRow="0" w:noHBand="0" w:noVBand="1" w:val="04A0"/>
        <w:tblLayout w:type="fixed"/>
      </w:tblPr>
      <w:tblGrid>
        <w:gridCol w:w="1701"/>
        <w:gridCol w:w="8271"/>
      </w:tblGrid>
      <w:tr>
        <w:trPr>
          <w:tblHeader w:val="true"/>
          <w:cantSplit w:val="true"/>
        </w:trPr>
        <w:tc>
          <w:tcPr>
            <w:tcW w:type="dxa" w:w="1701"/>
            <w:shd w:val="clear" w:color="auto" w:fill="E8EDF4"/>
          </w:tcPr>
          <w:p>
            <w:pPr>
              <w:spacing w:after="20" w:line="240" w:lineRule="auto"/>
            </w:pPr>
            <w:r/>
            <w:r>
              <w:rPr>
                <w:b/>
                <w:i w:val="0"/>
                <w:sz w:val="19"/>
              </w:rPr>
              <w:t>Report</w:t>
            </w:r>
          </w:p>
        </w:tc>
        <w:tc>
          <w:tcPr>
            <w:tcW w:type="dxa" w:w="8271"/>
            <w:shd w:val="clear" w:color="auto" w:fill="E8EDF4"/>
          </w:tcPr>
          <w:p>
            <w:pPr>
              <w:spacing w:after="20" w:line="240" w:lineRule="auto"/>
            </w:pPr>
            <w:r/>
            <w:r>
              <w:rPr>
                <w:b/>
                <w:i w:val="0"/>
                <w:sz w:val="19"/>
              </w:rPr>
              <w:t>Detail</w:t>
            </w:r>
          </w:p>
        </w:tc>
      </w:tr>
      <w:tr>
        <w:trPr>
          <w:cantSplit w:val="true"/>
        </w:trPr>
        <w:tc>
          <w:tcPr>
            <w:tcW w:type="dxa" w:w="1701"/>
          </w:tcPr>
          <w:p>
            <w:pPr>
              <w:spacing w:after="20" w:line="240" w:lineRule="auto"/>
            </w:pPr>
            <w:r/>
            <w:r>
              <w:rPr>
                <w:b/>
                <w:i w:val="0"/>
                <w:sz w:val="18"/>
              </w:rPr>
              <w:t>Product</w:t>
            </w:r>
          </w:p>
        </w:tc>
        <w:tc>
          <w:tcPr>
            <w:tcW w:type="dxa" w:w="8271"/>
          </w:tcPr>
          <w:p>
            <w:pPr>
              <w:spacing w:after="20" w:line="240" w:lineRule="auto"/>
            </w:pPr>
            <w:r/>
            <w:r>
              <w:rPr>
                <w:b w:val="0"/>
                <w:i w:val="0"/>
                <w:sz w:val="18"/>
              </w:rPr>
              <w:t>ONK-417, oral kinase inhibitor, advanced solid tumors (Case A)</w:t>
            </w:r>
          </w:p>
        </w:tc>
      </w:tr>
      <w:tr>
        <w:trPr>
          <w:cantSplit w:val="true"/>
        </w:trPr>
        <w:tc>
          <w:tcPr>
            <w:tcW w:type="dxa" w:w="1701"/>
          </w:tcPr>
          <w:p>
            <w:pPr>
              <w:spacing w:after="20" w:line="240" w:lineRule="auto"/>
            </w:pPr>
            <w:r/>
            <w:r>
              <w:rPr>
                <w:b/>
                <w:i w:val="0"/>
                <w:sz w:val="18"/>
              </w:rPr>
              <w:t>Report</w:t>
            </w:r>
          </w:p>
        </w:tc>
        <w:tc>
          <w:tcPr>
            <w:tcW w:type="dxa" w:w="8271"/>
          </w:tcPr>
          <w:p>
            <w:pPr>
              <w:spacing w:after="20" w:line="240" w:lineRule="auto"/>
            </w:pPr>
            <w:r/>
            <w:r>
              <w:rPr>
                <w:b w:val="0"/>
                <w:i w:val="0"/>
                <w:sz w:val="18"/>
              </w:rPr>
              <w:t>DSUR 3, reporting period 14 March 2026 to 13 March 2027</w:t>
            </w:r>
          </w:p>
        </w:tc>
      </w:tr>
      <w:tr>
        <w:trPr>
          <w:cantSplit w:val="true"/>
        </w:trPr>
        <w:tc>
          <w:tcPr>
            <w:tcW w:type="dxa" w:w="1701"/>
          </w:tcPr>
          <w:p>
            <w:pPr>
              <w:spacing w:after="20" w:line="240" w:lineRule="auto"/>
            </w:pPr>
            <w:r/>
            <w:r>
              <w:rPr>
                <w:b/>
                <w:i w:val="0"/>
                <w:sz w:val="18"/>
              </w:rPr>
              <w:t>Trials</w:t>
            </w:r>
          </w:p>
        </w:tc>
        <w:tc>
          <w:tcPr>
            <w:tcW w:type="dxa" w:w="8271"/>
          </w:tcPr>
          <w:p>
            <w:pPr>
              <w:spacing w:after="20" w:line="240" w:lineRule="auto"/>
            </w:pPr>
            <w:r/>
            <w:r>
              <w:rPr>
                <w:b w:val="0"/>
                <w:i w:val="0"/>
                <w:sz w:val="18"/>
              </w:rPr>
              <w:t>ONK-101 and ONK-103 (completed); ONK-201 and ONK-202, Phase 2 expansion cohorts at 300 mg (ongoing)</w:t>
            </w:r>
          </w:p>
        </w:tc>
      </w:tr>
    </w:tbl>
    <w:p>
      <w:pPr>
        <w:spacing w:after="40"/>
      </w:pPr>
    </w:p>
    <w:p>
      <w:pPr>
        <w:pStyle w:val="Heading2"/>
      </w:pPr>
      <w:r>
        <w:t>19. Summary of Important Risks (excerpt)</w:t>
      </w:r>
    </w:p>
    <w:p>
      <w:r>
        <w:rPr>
          <w:i/>
          <w:sz w:val="19"/>
        </w:rPr>
        <w:t>New or updated information in this reporting period is marked with an asterisk (*).</w:t>
      </w:r>
    </w:p>
    <w:p>
      <w:r>
        <w:rPr>
          <w:b/>
        </w:rPr>
        <w:t>Hepatotoxicity (important identified risk)*</w:t>
      </w:r>
      <w:r>
        <w:rPr>
          <w:i w:val="0"/>
        </w:rPr>
      </w:r>
    </w:p>
    <w:p>
      <w:r>
        <w:rPr>
          <w:i w:val="0"/>
        </w:rPr>
        <w:t>Hepatotoxicity has been included in the Summary of Important Risks since the first DSUR, when it was listed as an important potential risk on the basis of liver findings in rats and no cases in humans. The 26-week rat toxicity study, completed during the second reporting period, showed hepatocellular hypertrophy with single-cell necrosis at exposures 4 times the human exposure at 300 mg.</w:t>
      </w:r>
    </w:p>
    <w:p>
      <w:r>
        <w:rPr>
          <w:i w:val="0"/>
        </w:rPr>
        <w:t>In the second reporting period, two subjects had ALT above 3 times the upper limit of normal (grade 3). Both elevations resolved when ONK-417 was interrupted, and both subjects had other possible causes, so the risk remained potential.</w:t>
      </w:r>
    </w:p>
    <w:p>
      <w:r>
        <w:rPr>
          <w:i w:val="0"/>
        </w:rPr>
        <w:t>During this reporting period, three further subjects had ALT above 3 times the upper limit of normal.* The three cases showed a consistent pattern: onset within eight weeks of starting ONK-417, resolution when treatment was interrupted, and recurrence on rechallenge in one subject. Cumulatively, five of 148 subjects treated with ONK-417 have had ALT above 3 times the upper limit of normal. On this evidence, the safety management team concluded that there is adequate evidence of an association, and hepatotoxicity has been reclassified as an important identified risk.* IB Edition 2, adopted in October 2026, added a hepatotoxicity warning* (Section 4).</w:t>
      </w:r>
    </w:p>
    <w:p>
      <w:r>
        <w:rPr>
          <w:i w:val="0"/>
        </w:rPr>
        <w:t>Subjects with hepatic impairment at baseline are excluded from ONK-201 and ONK-202. Protocol amendment 6 added liver tests every two weeks for the first three months of treatment, with rules for interrupting and discontinuing ONK-417 when liver tests rise (Section 3). The evaluation is presented in Section 18.1.</w:t>
      </w:r>
    </w:p>
    <w:p>
      <w:pPr>
        <w:pStyle w:val="Heading2"/>
      </w:pPr>
      <w:r>
        <w:t>Your tabular entry</w:t>
      </w:r>
    </w:p>
    <w:tbl>
      <w:tblPr>
        <w:tblStyle w:val="TableGrid"/>
        <w:tblW w:type="auto" w:w="0"/>
        <w:jc w:val="center"/>
        <w:tblLayout w:type="fixed"/>
        <w:tblLook w:firstColumn="1" w:firstRow="1" w:lastColumn="0" w:lastRow="0" w:noHBand="0" w:noVBand="1" w:val="04A0"/>
        <w:tblLayout w:type="fixed"/>
      </w:tblPr>
      <w:tblGrid>
        <w:gridCol w:w="1814"/>
        <w:gridCol w:w="2154"/>
        <w:gridCol w:w="3302"/>
        <w:gridCol w:w="2702"/>
      </w:tblGrid>
      <w:tr>
        <w:trPr>
          <w:tblHeader w:val="true"/>
          <w:cantSplit w:val="true"/>
        </w:trPr>
        <w:tc>
          <w:tcPr>
            <w:tcW w:type="dxa" w:w="1814"/>
            <w:shd w:val="clear" w:color="auto" w:fill="E8EDF4"/>
          </w:tcPr>
          <w:p>
            <w:pPr>
              <w:spacing w:after="20" w:line="240" w:lineRule="auto"/>
            </w:pPr>
            <w:r/>
            <w:r>
              <w:rPr>
                <w:b/>
                <w:i w:val="0"/>
                <w:sz w:val="18"/>
              </w:rPr>
              <w:t>Risk (status)</w:t>
            </w:r>
          </w:p>
        </w:tc>
        <w:tc>
          <w:tcPr>
            <w:tcW w:type="dxa" w:w="2154"/>
            <w:shd w:val="clear" w:color="auto" w:fill="E8EDF4"/>
          </w:tcPr>
          <w:p>
            <w:pPr>
              <w:spacing w:after="20" w:line="240" w:lineRule="auto"/>
            </w:pPr>
            <w:r/>
            <w:r>
              <w:rPr>
                <w:b/>
                <w:i w:val="0"/>
                <w:sz w:val="18"/>
              </w:rPr>
              <w:t>Nonclinical data</w:t>
            </w:r>
          </w:p>
        </w:tc>
        <w:tc>
          <w:tcPr>
            <w:tcW w:type="dxa" w:w="3302"/>
            <w:shd w:val="clear" w:color="auto" w:fill="E8EDF4"/>
          </w:tcPr>
          <w:p>
            <w:pPr>
              <w:spacing w:after="20" w:line="240" w:lineRule="auto"/>
            </w:pPr>
            <w:r/>
            <w:r>
              <w:rPr>
                <w:b/>
                <w:i w:val="0"/>
                <w:sz w:val="18"/>
              </w:rPr>
              <w:t>Clinical data (cumulative; new this period marked *)</w:t>
            </w:r>
          </w:p>
        </w:tc>
        <w:tc>
          <w:tcPr>
            <w:tcW w:type="dxa" w:w="2702"/>
            <w:shd w:val="clear" w:color="auto" w:fill="E8EDF4"/>
          </w:tcPr>
          <w:p>
            <w:pPr>
              <w:spacing w:after="20" w:line="240" w:lineRule="auto"/>
            </w:pPr>
            <w:r/>
            <w:r>
              <w:rPr>
                <w:b/>
                <w:i w:val="0"/>
                <w:sz w:val="18"/>
              </w:rPr>
              <w:t>Measures in the trials</w:t>
            </w:r>
          </w:p>
        </w:tc>
      </w:tr>
      <w:tr>
        <w:trPr>
          <w:cantSplit w:val="true"/>
          <w:trHeight w:val="1928"/>
        </w:trPr>
        <w:tc>
          <w:tcPr>
            <w:tcW w:type="dxa" w:w="1814"/>
          </w:tcPr>
          <w:p>
            <w:pPr>
              <w:spacing w:after="20" w:line="240" w:lineRule="auto"/>
            </w:pPr>
            <w:r/>
            <w:r>
              <w:rPr>
                <w:b w:val="0"/>
                <w:i w:val="0"/>
                <w:sz w:val="18"/>
              </w:rPr>
            </w:r>
          </w:p>
        </w:tc>
        <w:tc>
          <w:tcPr>
            <w:tcW w:type="dxa" w:w="2154"/>
          </w:tcPr>
          <w:p>
            <w:pPr>
              <w:spacing w:after="20" w:line="240" w:lineRule="auto"/>
            </w:pPr>
            <w:r/>
            <w:r>
              <w:rPr>
                <w:b w:val="0"/>
                <w:i w:val="0"/>
                <w:sz w:val="18"/>
              </w:rPr>
            </w:r>
          </w:p>
        </w:tc>
        <w:tc>
          <w:tcPr>
            <w:tcW w:type="dxa" w:w="3302"/>
          </w:tcPr>
          <w:p>
            <w:pPr>
              <w:spacing w:after="20" w:line="240" w:lineRule="auto"/>
            </w:pPr>
            <w:r/>
            <w:r>
              <w:rPr>
                <w:b w:val="0"/>
                <w:i w:val="0"/>
                <w:sz w:val="18"/>
              </w:rPr>
            </w:r>
          </w:p>
        </w:tc>
        <w:tc>
          <w:tcPr>
            <w:tcW w:type="dxa" w:w="2702"/>
          </w:tcPr>
          <w:p>
            <w:pPr>
              <w:spacing w:after="20" w:line="240" w:lineRule="auto"/>
            </w:pPr>
            <w:r/>
            <w:r>
              <w:rPr>
                <w:b w:val="0"/>
                <w:i w:val="0"/>
                <w:sz w:val="18"/>
              </w:rPr>
            </w:r>
          </w:p>
        </w:tc>
      </w:tr>
    </w:tbl>
    <w:p>
      <w:pPr>
        <w:spacing w:after="40"/>
      </w:pP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Companion material to Writing the DSUR (Selim Medical Press). Fictional data. Not regulatory advice. CC BY-NC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