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7"/>
        </w:rPr>
        <w:t>CHAPTER 11 · EXERCISE 3 · EXERCISE MATERIAL</w:t>
      </w:r>
    </w:p>
    <w:p>
      <w:pPr>
        <w:pStyle w:val="Heading1"/>
      </w:pPr>
      <w:r>
        <w:t>XB-7: Last Year's Section 19 (DSUR 4)</w:t>
      </w:r>
    </w:p>
    <w:p>
      <w:r>
        <w:rPr>
          <w:i/>
          <w:color w:val="555555"/>
          <w:sz w:val="19"/>
        </w:rPr>
        <w:t>This is the Summary of Important Risks from XB-7's fourth DSUR, as submitted. Update it for DSUR 5 (2 September 2025 to 1 September 2026) with this year's data from Chapter 10 and Case B (Appendix D). Re-evaluate every entry, and mark new information with an asterisk. A model answer is in Appendix 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1304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Report</w:t>
            </w:r>
          </w:p>
        </w:tc>
        <w:tc>
          <w:tcPr>
            <w:tcW w:type="dxa" w:w="11304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Product</w:t>
            </w:r>
          </w:p>
        </w:tc>
        <w:tc>
          <w:tcPr>
            <w:tcW w:type="dxa" w:w="1130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XB-7, monoclonal antibody, 150 mg subcutaneously every four weeks, adults with moderate-to-severe [autoimmune disease] (Case B)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Report</w:t>
            </w:r>
          </w:p>
        </w:tc>
        <w:tc>
          <w:tcPr>
            <w:tcW w:type="dxa" w:w="1130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DSUR 4, reporting period 2 September 2024 to 1 September 2025; data lock point 1 September 2025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Trials at the data lock point</w:t>
            </w:r>
          </w:p>
        </w:tc>
        <w:tc>
          <w:tcPr>
            <w:tcW w:type="dxa" w:w="1130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XB-201, Phase 2, 270 adults randomized 2:1 to XB-7 or placebo for 52 weeks of treatment, followed by 12 weeks of safety follow-up: treatment and follow-up finished, clinical study report not final, still blinded (ongoing for this DSUR). XB-301, Phase 3, randomized 2:1, first subject dosed March 2024 (ongoing, blinded). XB-302, open-label extension of XB-201 and XB-301 since January 2023, all subjects on XB-7 (ongoing)</w:t>
            </w:r>
          </w:p>
        </w:tc>
      </w:tr>
    </w:tbl>
    <w:p>
      <w:pPr>
        <w:spacing w:after="40"/>
      </w:pPr>
    </w:p>
    <w:p>
      <w:pPr>
        <w:pStyle w:val="Heading2"/>
      </w:pPr>
      <w:r>
        <w:t>19. Summary of Important Risks</w:t>
      </w:r>
    </w:p>
    <w:p>
      <w:r>
        <w:rPr>
          <w:i/>
          <w:sz w:val="19"/>
        </w:rPr>
        <w:t>New or updated information in this reporting period is marked with an asterisk (*). No important risk was added, reclassified or resolved during the period.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608"/>
        <w:gridCol w:w="5068"/>
        <w:gridCol w:w="3515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Risk (status)</w:t>
            </w:r>
          </w:p>
        </w:tc>
        <w:tc>
          <w:tcPr>
            <w:tcW w:type="dxa" w:w="260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Nonclinical data</w:t>
            </w:r>
          </w:p>
        </w:tc>
        <w:tc>
          <w:tcPr>
            <w:tcW w:type="dxa" w:w="5068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Clinical data (cumulative; new this period marked *)</w:t>
            </w:r>
          </w:p>
        </w:tc>
        <w:tc>
          <w:tcPr>
            <w:tcW w:type="dxa" w:w="3515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Measures in the trials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Serious infections (important identified risk)*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Reduced bacterial clearance in a murine model at exposures above the clinical dose</w:t>
            </w:r>
          </w:p>
        </w:tc>
        <w:tc>
          <w:tcPr>
            <w:tcW w:type="dxa" w:w="50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An increased risk of bacterial infection is plausible from XB-7's mechanism. Cumulatively, 17 serious infections have been reported among about 570 subject-years across all arms (about 3.0 per 100 subject-years, pooled): 8 in XB-201 (about 300 subject-years) and 7 in XB-301 (about 120 subject-years), all blinded, and 2 in open-label XB-302 (about 150 subject-years), both on XB-7.* By type: pneumonia 10, cellulitis 6, sepsis 1. The sepsis case occurred in XB-302 in 2024 in a subject receiving XB-7; it is reported within this risk and is not an expected reaction under IB Edition 5 (May 2025), which lists pneumonia and cellulitis. No opportunistic infection or tuberculosis has been reported. Rates by arm will be available when XB-201 is unblinded. Risk higher over 75 years and with corticosteroids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Exclusion of active or chronic infections; screening for tuberculosis; IB and consent forms describe serious infections and the higher risk in older subjects and those receiving corticosteroids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Injection-site reactions (important identified risk)</w:t>
            </w:r>
          </w:p>
        </w:tc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Minimal, reversible inflammation at injection sites in repeat-dose toxicity studies</w:t>
            </w:r>
          </w:p>
        </w:tc>
        <w:tc>
          <w:tcPr>
            <w:tcW w:type="dxa" w:w="50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Erythema, swelling and pain at the injection site, mostly mild and resolving within a few days; none serious cumulatively.* Rates by arm will be available when XB-201 is unblinded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Injection-site assessment at each dosing visit; rotation of injection sites as specified in the protocols; IB and consent forms describe the reactions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Companion material to Writing the DSUR (Selim Medical Press). Fictional data. Not regulatory advice. CC BY-NC 4.0.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