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55555"/>
          <w:sz w:val="17"/>
        </w:rPr>
        <w:t>CHAPTER 11 · TEMPLATE</w:t>
      </w:r>
    </w:p>
    <w:p>
      <w:pPr>
        <w:pStyle w:val="Heading1"/>
      </w:pPr>
      <w:r>
        <w:t>Section 19 Summary of Important Risks: Four-Column Template</w:t>
      </w:r>
    </w:p>
    <w:p>
      <w:r>
        <w:rPr>
          <w:i/>
          <w:color w:val="555555"/>
          <w:sz w:val="19"/>
        </w:rPr>
        <w:t>One row per important risk, following the pattern of E2F Appendix C2 (11.6). Re-evaluate every row every year, and mark new or updated information with an asterisk (*), as E2F's own examples do.</w:t>
      </w:r>
    </w:p>
    <w:p>
      <w:r>
        <w:rPr>
          <w:i w:val="0"/>
          <w:sz w:val="19"/>
        </w:rPr>
        <w:t>Product: ____________________   DSUR number: ______   Reporting period: ______________________   Reference safety information (IB edition): ______________</w:t>
      </w:r>
    </w:p>
    <w:p>
      <w:r>
        <w:rPr>
          <w:b/>
          <w:i w:val="0"/>
          <w:sz w:val="22"/>
        </w:rPr>
        <w:t>19. Summary of Important Risks</w:t>
      </w:r>
    </w:p>
    <w:p>
      <w:r>
        <w:rPr>
          <w:i/>
          <w:sz w:val="19"/>
        </w:rPr>
        <w:t>New or updated information in this reporting period is marked with an asterisk (*).</w:t>
      </w:r>
    </w:p>
    <w:tbl>
      <w:tblPr>
        <w:tblStyle w:val="TableGrid"/>
        <w:tblW w:type="auto" w:w="0"/>
        <w:jc w:val="center"/>
        <w:tblLayout w:type="fixed"/>
        <w:tblLook w:firstColumn="1" w:firstRow="1" w:lastColumn="0" w:lastRow="0" w:noHBand="0" w:noVBand="1" w:val="04A0"/>
        <w:tblLayout w:type="fixed"/>
      </w:tblPr>
      <w:tblGrid>
        <w:gridCol w:w="2835"/>
        <w:gridCol w:w="2721"/>
        <w:gridCol w:w="4501"/>
        <w:gridCol w:w="3515"/>
      </w:tblGrid>
      <w:tr>
        <w:trPr>
          <w:tblHeader w:val="true"/>
          <w:cantSplit w:val="true"/>
        </w:trPr>
        <w:tc>
          <w:tcPr>
            <w:tcW w:type="dxa" w:w="2835"/>
            <w:shd w:val="clear" w:color="auto" w:fill="E8EDF4"/>
          </w:tcPr>
          <w:p>
            <w:pPr>
              <w:spacing w:after="20" w:line="240" w:lineRule="auto"/>
            </w:pPr>
            <w:r/>
            <w:r>
              <w:rPr>
                <w:b/>
                <w:i w:val="0"/>
                <w:sz w:val="18"/>
              </w:rPr>
              <w:t>Risk (status)</w:t>
            </w:r>
          </w:p>
        </w:tc>
        <w:tc>
          <w:tcPr>
            <w:tcW w:type="dxa" w:w="2721"/>
            <w:shd w:val="clear" w:color="auto" w:fill="E8EDF4"/>
          </w:tcPr>
          <w:p>
            <w:pPr>
              <w:spacing w:after="20" w:line="240" w:lineRule="auto"/>
            </w:pPr>
            <w:r/>
            <w:r>
              <w:rPr>
                <w:b/>
                <w:i w:val="0"/>
                <w:sz w:val="18"/>
              </w:rPr>
              <w:t>Nonclinical data</w:t>
            </w:r>
          </w:p>
        </w:tc>
        <w:tc>
          <w:tcPr>
            <w:tcW w:type="dxa" w:w="4501"/>
            <w:shd w:val="clear" w:color="auto" w:fill="E8EDF4"/>
          </w:tcPr>
          <w:p>
            <w:pPr>
              <w:spacing w:after="20" w:line="240" w:lineRule="auto"/>
            </w:pPr>
            <w:r/>
            <w:r>
              <w:rPr>
                <w:b/>
                <w:i w:val="0"/>
                <w:sz w:val="18"/>
              </w:rPr>
              <w:t>Clinical data (cumulative; new this period marked *)</w:t>
            </w:r>
          </w:p>
        </w:tc>
        <w:tc>
          <w:tcPr>
            <w:tcW w:type="dxa" w:w="3515"/>
            <w:shd w:val="clear" w:color="auto" w:fill="E8EDF4"/>
          </w:tcPr>
          <w:p>
            <w:pPr>
              <w:spacing w:after="20" w:line="240" w:lineRule="auto"/>
            </w:pPr>
            <w:r/>
            <w:r>
              <w:rPr>
                <w:b/>
                <w:i w:val="0"/>
                <w:sz w:val="18"/>
              </w:rPr>
              <w:t>Measures in the trials</w:t>
            </w:r>
          </w:p>
        </w:tc>
      </w:tr>
      <w:tr>
        <w:trPr>
          <w:cantSplit w:val="true"/>
          <w:trHeight w:val="794"/>
        </w:trPr>
        <w:tc>
          <w:tcPr>
            <w:tcW w:type="dxa" w:w="2835"/>
          </w:tcPr>
          <w:p>
            <w:pPr>
              <w:spacing w:after="20" w:line="240" w:lineRule="auto"/>
            </w:pPr>
            <w:r/>
            <w:r>
              <w:rPr>
                <w:b/>
                <w:i w:val="0"/>
                <w:sz w:val="18"/>
              </w:rPr>
              <w:t>[Risk] (important identified risk)</w:t>
            </w:r>
          </w:p>
        </w:tc>
        <w:tc>
          <w:tcPr>
            <w:tcW w:type="dxa" w:w="2721"/>
          </w:tcPr>
          <w:p>
            <w:pPr>
              <w:spacing w:after="20" w:line="240" w:lineRule="auto"/>
            </w:pPr>
            <w:r/>
            <w:r>
              <w:rPr>
                <w:b w:val="0"/>
                <w:i w:val="0"/>
                <w:sz w:val="18"/>
              </w:rPr>
              <w:t>[Finding, species, exposure margin]</w:t>
            </w:r>
          </w:p>
        </w:tc>
        <w:tc>
          <w:tcPr>
            <w:tcW w:type="dxa" w:w="4501"/>
          </w:tcPr>
          <w:p>
            <w:pPr>
              <w:spacing w:after="20" w:line="240" w:lineRule="auto"/>
            </w:pPr>
            <w:r/>
            <w:r>
              <w:rPr>
                <w:b w:val="0"/>
                <w:i w:val="0"/>
                <w:sz w:val="18"/>
              </w:rPr>
              <w:t>[Cumulative cases or rates, with denominators; types; risk factors; new this period*]</w:t>
            </w:r>
          </w:p>
        </w:tc>
        <w:tc>
          <w:tcPr>
            <w:tcW w:type="dxa" w:w="3515"/>
          </w:tcPr>
          <w:p>
            <w:pPr>
              <w:spacing w:after="20" w:line="240" w:lineRule="auto"/>
            </w:pPr>
            <w:r/>
            <w:r>
              <w:rPr>
                <w:b w:val="0"/>
                <w:i w:val="0"/>
                <w:sz w:val="18"/>
              </w:rPr>
              <w:t>[Exclusion criteria; monitoring; stopping or interruption rules; consent language]</w:t>
            </w:r>
          </w:p>
        </w:tc>
      </w:tr>
      <w:tr>
        <w:trPr>
          <w:cantSplit w:val="true"/>
          <w:trHeight w:val="794"/>
        </w:trPr>
        <w:tc>
          <w:tcPr>
            <w:tcW w:type="dxa" w:w="2835"/>
          </w:tcPr>
          <w:p>
            <w:pPr>
              <w:spacing w:after="20" w:line="240" w:lineRule="auto"/>
            </w:pPr>
            <w:r/>
            <w:r>
              <w:rPr>
                <w:b/>
                <w:i w:val="0"/>
                <w:sz w:val="18"/>
              </w:rPr>
              <w:t>[Risk] (important potential risk)</w:t>
            </w:r>
          </w:p>
        </w:tc>
        <w:tc>
          <w:tcPr>
            <w:tcW w:type="dxa" w:w="2721"/>
          </w:tcPr>
          <w:p>
            <w:pPr>
              <w:spacing w:after="20" w:line="240" w:lineRule="auto"/>
            </w:pPr>
            <w:r/>
            <w:r>
              <w:rPr>
                <w:b w:val="0"/>
                <w:i w:val="0"/>
                <w:sz w:val="18"/>
              </w:rPr>
              <w:t>[Finding, or "Theoretical, from the class"]</w:t>
            </w:r>
          </w:p>
        </w:tc>
        <w:tc>
          <w:tcPr>
            <w:tcW w:type="dxa" w:w="4501"/>
          </w:tcPr>
          <w:p>
            <w:pPr>
              <w:spacing w:after="20" w:line="240" w:lineRule="auto"/>
            </w:pPr>
            <w:r/>
            <w:r>
              <w:rPr>
                <w:b w:val="0"/>
                <w:i w:val="0"/>
                <w:sz w:val="18"/>
              </w:rPr>
              <w:t>[Cases, or the absence of cases with the follow-up that makes it informative*]</w:t>
            </w:r>
          </w:p>
        </w:tc>
        <w:tc>
          <w:tcPr>
            <w:tcW w:type="dxa" w:w="3515"/>
          </w:tcPr>
          <w:p>
            <w:pPr>
              <w:spacing w:after="20" w:line="240" w:lineRule="auto"/>
            </w:pPr>
            <w:r/>
            <w:r>
              <w:rPr>
                <w:b w:val="0"/>
                <w:i w:val="0"/>
                <w:sz w:val="18"/>
              </w:rPr>
              <w:t>[Measures]</w:t>
            </w:r>
          </w:p>
        </w:tc>
      </w:tr>
      <w:tr>
        <w:trPr>
          <w:cantSplit w:val="true"/>
          <w:trHeight w:val="794"/>
        </w:trPr>
        <w:tc>
          <w:tcPr>
            <w:tcW w:type="dxa" w:w="2835"/>
          </w:tcPr>
          <w:p>
            <w:pPr>
              <w:spacing w:after="20" w:line="240" w:lineRule="auto"/>
            </w:pPr>
            <w:r/>
            <w:r>
              <w:rPr>
                <w:b/>
                <w:i w:val="0"/>
                <w:sz w:val="18"/>
              </w:rPr>
              <w:t>[Risk] (resolved)</w:t>
            </w:r>
          </w:p>
        </w:tc>
        <w:tc>
          <w:tcPr>
            <w:tcW w:type="dxa" w:w="2721"/>
          </w:tcPr>
          <w:p>
            <w:pPr>
              <w:spacing w:after="20" w:line="240" w:lineRule="auto"/>
            </w:pPr>
            <w:r/>
            <w:r>
              <w:rPr>
                <w:b w:val="0"/>
                <w:i w:val="0"/>
                <w:sz w:val="18"/>
              </w:rPr>
              <w:t>[Why it was considered]</w:t>
            </w:r>
          </w:p>
        </w:tc>
        <w:tc>
          <w:tcPr>
            <w:tcW w:type="dxa" w:w="4501"/>
          </w:tcPr>
          <w:p>
            <w:pPr>
              <w:spacing w:after="20" w:line="240" w:lineRule="auto"/>
            </w:pPr>
            <w:r/>
            <w:r>
              <w:rPr>
                <w:b w:val="0"/>
                <w:i w:val="0"/>
                <w:sz w:val="18"/>
              </w:rPr>
              <w:t>[What resolved it, and when]</w:t>
            </w:r>
          </w:p>
        </w:tc>
        <w:tc>
          <w:tcPr>
            <w:tcW w:type="dxa" w:w="3515"/>
          </w:tcPr>
          <w:p>
            <w:pPr>
              <w:spacing w:after="20" w:line="240" w:lineRule="auto"/>
            </w:pPr>
            <w:r/>
            <w:r>
              <w:rPr>
                <w:b w:val="0"/>
                <w:i w:val="0"/>
                <w:sz w:val="18"/>
              </w:rPr>
              <w:t>[Resulting change to the protocols, with amendment]</w:t>
            </w:r>
          </w:p>
        </w:tc>
      </w:tr>
      <w:tr>
        <w:trPr>
          <w:cantSplit w:val="true"/>
          <w:trHeight w:val="794"/>
        </w:trPr>
        <w:tc>
          <w:tcPr>
            <w:tcW w:type="dxa" w:w="2835"/>
          </w:tcPr>
          <w:p>
            <w:pPr>
              <w:spacing w:after="20" w:line="240" w:lineRule="auto"/>
            </w:pPr>
            <w:r/>
            <w:r>
              <w:rPr>
                <w:b/>
                <w:i w:val="0"/>
                <w:sz w:val="18"/>
              </w:rPr>
            </w:r>
          </w:p>
        </w:tc>
        <w:tc>
          <w:tcPr>
            <w:tcW w:type="dxa" w:w="2721"/>
          </w:tcPr>
          <w:p>
            <w:pPr>
              <w:spacing w:after="20" w:line="240" w:lineRule="auto"/>
            </w:pPr>
            <w:r/>
            <w:r>
              <w:rPr>
                <w:b w:val="0"/>
                <w:i w:val="0"/>
                <w:sz w:val="18"/>
              </w:rPr>
            </w:r>
          </w:p>
        </w:tc>
        <w:tc>
          <w:tcPr>
            <w:tcW w:type="dxa" w:w="4501"/>
          </w:tcPr>
          <w:p>
            <w:pPr>
              <w:spacing w:after="20" w:line="240" w:lineRule="auto"/>
            </w:pPr>
            <w:r/>
            <w:r>
              <w:rPr>
                <w:b w:val="0"/>
                <w:i w:val="0"/>
                <w:sz w:val="18"/>
              </w:rPr>
            </w:r>
          </w:p>
        </w:tc>
        <w:tc>
          <w:tcPr>
            <w:tcW w:type="dxa" w:w="3515"/>
          </w:tcPr>
          <w:p>
            <w:pPr>
              <w:spacing w:after="20" w:line="240" w:lineRule="auto"/>
            </w:pPr>
            <w:r/>
            <w:r>
              <w:rPr>
                <w:b w:val="0"/>
                <w:i w:val="0"/>
                <w:sz w:val="18"/>
              </w:rPr>
            </w:r>
          </w:p>
        </w:tc>
      </w:tr>
      <w:tr>
        <w:trPr>
          <w:cantSplit w:val="true"/>
          <w:trHeight w:val="794"/>
        </w:trPr>
        <w:tc>
          <w:tcPr>
            <w:tcW w:type="dxa" w:w="2835"/>
          </w:tcPr>
          <w:p>
            <w:pPr>
              <w:spacing w:after="20" w:line="240" w:lineRule="auto"/>
            </w:pPr>
            <w:r/>
            <w:r>
              <w:rPr>
                <w:b/>
                <w:i w:val="0"/>
                <w:sz w:val="18"/>
              </w:rPr>
            </w:r>
          </w:p>
        </w:tc>
        <w:tc>
          <w:tcPr>
            <w:tcW w:type="dxa" w:w="2721"/>
          </w:tcPr>
          <w:p>
            <w:pPr>
              <w:spacing w:after="20" w:line="240" w:lineRule="auto"/>
            </w:pPr>
            <w:r/>
            <w:r>
              <w:rPr>
                <w:b w:val="0"/>
                <w:i w:val="0"/>
                <w:sz w:val="18"/>
              </w:rPr>
            </w:r>
          </w:p>
        </w:tc>
        <w:tc>
          <w:tcPr>
            <w:tcW w:type="dxa" w:w="4501"/>
          </w:tcPr>
          <w:p>
            <w:pPr>
              <w:spacing w:after="20" w:line="240" w:lineRule="auto"/>
            </w:pPr>
            <w:r/>
            <w:r>
              <w:rPr>
                <w:b w:val="0"/>
                <w:i w:val="0"/>
                <w:sz w:val="18"/>
              </w:rPr>
            </w:r>
          </w:p>
        </w:tc>
        <w:tc>
          <w:tcPr>
            <w:tcW w:type="dxa" w:w="3515"/>
          </w:tcPr>
          <w:p>
            <w:pPr>
              <w:spacing w:after="20" w:line="240" w:lineRule="auto"/>
            </w:pPr>
            <w:r/>
            <w:r>
              <w:rPr>
                <w:b w:val="0"/>
                <w:i w:val="0"/>
                <w:sz w:val="18"/>
              </w:rPr>
            </w:r>
          </w:p>
        </w:tc>
      </w:tr>
    </w:tbl>
    <w:p>
      <w:pPr>
        <w:spacing w:after="40"/>
      </w:pPr>
    </w:p>
    <w:p>
      <w:pPr>
        <w:pStyle w:val="Heading2"/>
      </w:pPr>
      <w:r>
        <w:t>How to fill each column</w:t>
      </w:r>
    </w:p>
    <w:p>
      <w:pPr>
        <w:pStyle w:val="ListBullet"/>
        <w:spacing w:after="40"/>
      </w:pPr>
      <w:r>
        <w:rPr>
          <w:b/>
        </w:rPr>
        <w:t xml:space="preserve">Risk (status). </w:t>
      </w:r>
      <w:r>
        <w:t>Use the same name as the IB, protocols, consent forms and any risk management plan, and state important identified or important potential. Identified versus potential turns on the strength of evidence for an association, never on severity (11.3).</w:t>
      </w:r>
    </w:p>
    <w:p>
      <w:pPr>
        <w:pStyle w:val="ListBullet"/>
        <w:spacing w:after="40"/>
      </w:pPr>
      <w:r>
        <w:rPr>
          <w:b/>
        </w:rPr>
        <w:t xml:space="preserve">Nonclinical data. </w:t>
      </w:r>
      <w:r>
        <w:t>The finding, the species and the exposure margin; or the class basis for a theoretical risk.</w:t>
      </w:r>
    </w:p>
    <w:p>
      <w:pPr>
        <w:pStyle w:val="ListBullet"/>
        <w:spacing w:after="40"/>
      </w:pPr>
      <w:r>
        <w:rPr>
          <w:b/>
        </w:rPr>
        <w:t xml:space="preserve">Clinical data. </w:t>
      </w:r>
      <w:r>
        <w:t>Cumulative, with new information marked *. Early in development, describe individual cases; later, give rates by arm with denominators, types of event and risk factors (11.5). For a risk that has never occurred, state the absence with the subjects and follow-up behind it.</w:t>
      </w:r>
    </w:p>
    <w:p>
      <w:pPr>
        <w:pStyle w:val="ListBullet"/>
        <w:spacing w:after="40"/>
      </w:pPr>
      <w:r>
        <w:rPr>
          <w:b/>
        </w:rPr>
        <w:t xml:space="preserve">Measures in the trials. </w:t>
      </w:r>
      <w:r>
        <w:t>What protects trial subjects: exclusion criteria, monitoring, stopping rules, consent language. Not marketed risk minimization (11.9).</w:t>
      </w:r>
    </w:p>
    <w:p>
      <w:pPr>
        <w:pStyle w:val="Heading2"/>
      </w:pPr>
      <w:r>
        <w:t>Rules for the list</w:t>
      </w:r>
    </w:p>
    <w:p>
      <w:pPr>
        <w:pStyle w:val="ListBullet"/>
        <w:spacing w:after="40"/>
      </w:pPr>
      <w:r>
        <w:t>A risk belongs here if it could lead to a warning, precaution or contraindication; already requires a protective measure in the trials; is serious, irreversible or potentially fatal; or comes from a class effect or nonclinical finding serious enough that trials are designed around it (11.2).</w:t>
      </w:r>
    </w:p>
    <w:p>
      <w:pPr>
        <w:pStyle w:val="ListBullet"/>
        <w:spacing w:after="40"/>
      </w:pPr>
      <w:r>
        <w:t>Keep resolved risks, briefly described: why the risk was considered, what resolved it and any change to the protocols (11.4).</w:t>
      </w:r>
    </w:p>
    <w:p>
      <w:pPr>
        <w:pStyle w:val="ListBullet"/>
        <w:spacing w:after="40"/>
      </w:pPr>
      <w:r>
        <w:t>If a risk is removed because it no longer meets the importance test, add a note saying why (11.2).</w:t>
      </w:r>
    </w:p>
    <w:p>
      <w:pPr>
        <w:pStyle w:val="ListBullet"/>
        <w:spacing w:after="40"/>
      </w:pPr>
      <w:r>
        <w:t>Name related events within a risk when they share its mechanism, risk factors and measures, so a reader looking for them finds them, as sepsis sits within serious infections (11.8).</w:t>
      </w:r>
    </w:p>
    <w:p>
      <w:pPr>
        <w:pStyle w:val="ListBullet"/>
        <w:spacing w:after="40"/>
      </w:pPr>
      <w:r>
        <w:t>For a marketed drug, add one sentence wherever a risk's name or status differs from the risk management plan, saying why (11.9).</w:t>
      </w:r>
    </w:p>
    <w:p>
      <w:pPr>
        <w:pStyle w:val="ListBullet"/>
        <w:spacing w:after="40"/>
      </w:pPr>
      <w:r>
        <w:t>Record every addition, reclassification, resolution or removal in a decision record (11.8; risk register workbook).</w:t>
      </w:r>
    </w:p>
    <w:p>
      <w:pPr>
        <w:pStyle w:val="Heading2"/>
      </w:pPr>
      <w:r>
        <w:t>Alignment check before sign-off (11.7)</w:t>
      </w:r>
    </w:p>
    <w:p>
      <w:pPr>
        <w:spacing w:after="40"/>
      </w:pPr>
      <w:r>
        <w:t>☐  Every important risk in the IB is in Section 19, and every Section 19 risk is reflected in the IB.</w:t>
      </w:r>
    </w:p>
    <w:p>
      <w:pPr>
        <w:spacing w:after="40"/>
      </w:pPr>
      <w:r>
        <w:t>☐  The protocols' eligibility and monitoring measures match the measures column.</w:t>
      </w:r>
    </w:p>
    <w:p>
      <w:pPr>
        <w:spacing w:after="40"/>
      </w:pPr>
      <w:r>
        <w:t>☐  Consent forms describe each important identified risk in words subjects can understand.</w:t>
      </w:r>
    </w:p>
    <w:p>
      <w:pPr>
        <w:spacing w:after="40"/>
      </w:pPr>
      <w:r>
        <w:t>☐  Where a risk management plan exists, risk names and statuses match its safety specification.</w:t>
      </w:r>
    </w:p>
    <w:sectPr w:rsidR="00FC693F" w:rsidRPr="0006063C" w:rsidSect="00034616">
      <w:footerReference w:type="default" r:id="rId9"/>
      <w:pgSz w:w="15840" w:h="12240" w:orient="landscape"/>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Companion material to Writing the DSUR (Selim Medical Press). Fictional data. Not regulatory advice. CC BY-NC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