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55555"/>
          <w:sz w:val="17"/>
        </w:rPr>
        <w:t>CHAPTER 12 · TEMPLATE</w:t>
      </w:r>
    </w:p>
    <w:p>
      <w:pPr>
        <w:pStyle w:val="Heading1"/>
      </w:pPr>
      <w:r>
        <w:t>Section 18.2 Benefit–Risk Statement and Three-Way Check</w:t>
      </w:r>
    </w:p>
    <w:p>
      <w:r>
        <w:rPr>
          <w:i/>
          <w:color w:val="555555"/>
          <w:sz w:val="19"/>
        </w:rPr>
        <w:t>Section 18.2 is a succinct statement, not a full benefit–risk assessment (E2F §3.18.2). Its question is whether it remains reasonable to expose trial subjects to the drug in trials as designed, given what is expected and what is known (12.2).</w:t>
      </w:r>
    </w:p>
    <w:p>
      <w:pPr>
        <w:pStyle w:val="Heading2"/>
      </w:pPr>
      <w:r>
        <w:t>Part A. The four elements (Figure 12.1)</w:t>
      </w:r>
    </w:p>
    <w:tbl>
      <w:tblPr>
        <w:tblStyle w:val="TableGrid"/>
        <w:tblW w:type="auto" w:w="0"/>
        <w:jc w:val="center"/>
        <w:tblLayout w:type="fixed"/>
        <w:tblLook w:firstColumn="1" w:firstRow="1" w:lastColumn="0" w:lastRow="0" w:noHBand="0" w:noVBand="1" w:val="04A0"/>
        <w:tblLayout w:type="fixed"/>
      </w:tblPr>
      <w:tblGrid>
        <w:gridCol w:w="2041"/>
        <w:gridCol w:w="3628"/>
        <w:gridCol w:w="4303"/>
      </w:tblGrid>
      <w:tr>
        <w:trPr>
          <w:tblHeader w:val="true"/>
          <w:cantSplit w:val="true"/>
        </w:trPr>
        <w:tc>
          <w:tcPr>
            <w:tcW w:type="dxa" w:w="2041"/>
            <w:shd w:val="clear" w:color="auto" w:fill="E8EDF4"/>
          </w:tcPr>
          <w:p>
            <w:pPr>
              <w:spacing w:after="20" w:line="240" w:lineRule="auto"/>
            </w:pPr>
            <w:r/>
            <w:r>
              <w:rPr>
                <w:b/>
                <w:i w:val="0"/>
                <w:sz w:val="19"/>
              </w:rPr>
              <w:t>Element</w:t>
            </w:r>
          </w:p>
        </w:tc>
        <w:tc>
          <w:tcPr>
            <w:tcW w:type="dxa" w:w="3628"/>
            <w:shd w:val="clear" w:color="auto" w:fill="E8EDF4"/>
          </w:tcPr>
          <w:p>
            <w:pPr>
              <w:spacing w:after="20" w:line="240" w:lineRule="auto"/>
            </w:pPr>
            <w:r/>
            <w:r>
              <w:rPr>
                <w:b/>
                <w:i w:val="0"/>
                <w:sz w:val="19"/>
              </w:rPr>
              <w:t>Prompt</w:t>
            </w:r>
          </w:p>
        </w:tc>
        <w:tc>
          <w:tcPr>
            <w:tcW w:type="dxa" w:w="4303"/>
            <w:shd w:val="clear" w:color="auto" w:fill="E8EDF4"/>
          </w:tcPr>
          <w:p>
            <w:pPr>
              <w:spacing w:after="20" w:line="240" w:lineRule="auto"/>
            </w:pPr>
            <w:r/>
            <w:r>
              <w:rPr>
                <w:b/>
                <w:i w:val="0"/>
                <w:sz w:val="19"/>
              </w:rPr>
              <w:t>Your text</w:t>
            </w:r>
          </w:p>
        </w:tc>
      </w:tr>
      <w:tr>
        <w:trPr>
          <w:cantSplit w:val="true"/>
          <w:trHeight w:val="737"/>
        </w:trPr>
        <w:tc>
          <w:tcPr>
            <w:tcW w:type="dxa" w:w="2041"/>
          </w:tcPr>
          <w:p>
            <w:pPr>
              <w:spacing w:after="20" w:line="240" w:lineRule="auto"/>
            </w:pPr>
            <w:r/>
            <w:r>
              <w:rPr>
                <w:b/>
                <w:i w:val="0"/>
                <w:sz w:val="18"/>
              </w:rPr>
              <w:t>1. Anticipated benefit</w:t>
            </w:r>
          </w:p>
        </w:tc>
        <w:tc>
          <w:tcPr>
            <w:tcW w:type="dxa" w:w="3628"/>
          </w:tcPr>
          <w:p>
            <w:pPr>
              <w:spacing w:after="20" w:line="240" w:lineRule="auto"/>
            </w:pPr>
            <w:r/>
            <w:r>
              <w:rPr>
                <w:b w:val="0"/>
                <w:i w:val="0"/>
                <w:sz w:val="18"/>
              </w:rPr>
              <w:t>Name the benefit and the evidence it rests on. Say whether it is anticipated or established; in most DSURs it is anticipated.</w:t>
            </w:r>
          </w:p>
        </w:tc>
        <w:tc>
          <w:tcPr>
            <w:tcW w:type="dxa" w:w="4303"/>
          </w:tcPr>
          <w:p>
            <w:pPr>
              <w:spacing w:after="20" w:line="240" w:lineRule="auto"/>
            </w:pPr>
            <w:r/>
            <w:r>
              <w:rPr>
                <w:b w:val="0"/>
                <w:i w:val="0"/>
                <w:sz w:val="18"/>
              </w:rPr>
            </w:r>
          </w:p>
        </w:tc>
      </w:tr>
      <w:tr>
        <w:trPr>
          <w:cantSplit w:val="true"/>
          <w:trHeight w:val="737"/>
        </w:trPr>
        <w:tc>
          <w:tcPr>
            <w:tcW w:type="dxa" w:w="2041"/>
          </w:tcPr>
          <w:p>
            <w:pPr>
              <w:spacing w:after="20" w:line="240" w:lineRule="auto"/>
            </w:pPr>
            <w:r/>
            <w:r>
              <w:rPr>
                <w:b/>
                <w:i w:val="0"/>
                <w:sz w:val="18"/>
              </w:rPr>
              <w:t>2. Cumulative risk picture</w:t>
            </w:r>
          </w:p>
        </w:tc>
        <w:tc>
          <w:tcPr>
            <w:tcW w:type="dxa" w:w="3628"/>
          </w:tcPr>
          <w:p>
            <w:pPr>
              <w:spacing w:after="20" w:line="240" w:lineRule="auto"/>
            </w:pPr>
            <w:r/>
            <w:r>
              <w:rPr>
                <w:b w:val="0"/>
                <w:i w:val="0"/>
                <w:sz w:val="18"/>
              </w:rPr>
              <w:t>Name the important risks from Section 19; do not describe them again. Say whether any new important risk emerged.</w:t>
            </w:r>
          </w:p>
        </w:tc>
        <w:tc>
          <w:tcPr>
            <w:tcW w:type="dxa" w:w="4303"/>
          </w:tcPr>
          <w:p>
            <w:pPr>
              <w:spacing w:after="20" w:line="240" w:lineRule="auto"/>
            </w:pPr>
            <w:r/>
            <w:r>
              <w:rPr>
                <w:b w:val="0"/>
                <w:i w:val="0"/>
                <w:sz w:val="18"/>
              </w:rPr>
            </w:r>
          </w:p>
        </w:tc>
      </w:tr>
      <w:tr>
        <w:trPr>
          <w:cantSplit w:val="true"/>
          <w:trHeight w:val="737"/>
        </w:trPr>
        <w:tc>
          <w:tcPr>
            <w:tcW w:type="dxa" w:w="2041"/>
          </w:tcPr>
          <w:p>
            <w:pPr>
              <w:spacing w:after="20" w:line="240" w:lineRule="auto"/>
            </w:pPr>
            <w:r/>
            <w:r>
              <w:rPr>
                <w:b/>
                <w:i w:val="0"/>
                <w:sz w:val="18"/>
              </w:rPr>
              <w:t>3. How risks are controlled</w:t>
            </w:r>
          </w:p>
        </w:tc>
        <w:tc>
          <w:tcPr>
            <w:tcW w:type="dxa" w:w="3628"/>
          </w:tcPr>
          <w:p>
            <w:pPr>
              <w:spacing w:after="20" w:line="240" w:lineRule="auto"/>
            </w:pPr>
            <w:r/>
            <w:r>
              <w:rPr>
                <w:b w:val="0"/>
                <w:i w:val="0"/>
                <w:sz w:val="18"/>
              </w:rPr>
              <w:t>Eligibility criteria, monitoring, stopping or interruption rules, DMC review.</w:t>
            </w:r>
          </w:p>
        </w:tc>
        <w:tc>
          <w:tcPr>
            <w:tcW w:type="dxa" w:w="4303"/>
          </w:tcPr>
          <w:p>
            <w:pPr>
              <w:spacing w:after="20" w:line="240" w:lineRule="auto"/>
            </w:pPr>
            <w:r/>
            <w:r>
              <w:rPr>
                <w:b w:val="0"/>
                <w:i w:val="0"/>
                <w:sz w:val="18"/>
              </w:rPr>
            </w:r>
          </w:p>
        </w:tc>
      </w:tr>
      <w:tr>
        <w:trPr>
          <w:cantSplit w:val="true"/>
          <w:trHeight w:val="737"/>
        </w:trPr>
        <w:tc>
          <w:tcPr>
            <w:tcW w:type="dxa" w:w="2041"/>
          </w:tcPr>
          <w:p>
            <w:pPr>
              <w:spacing w:after="20" w:line="240" w:lineRule="auto"/>
            </w:pPr>
            <w:r/>
            <w:r>
              <w:rPr>
                <w:b/>
                <w:i w:val="0"/>
                <w:sz w:val="18"/>
              </w:rPr>
              <w:t>4. Change since the previous DSUR</w:t>
            </w:r>
          </w:p>
        </w:tc>
        <w:tc>
          <w:tcPr>
            <w:tcW w:type="dxa" w:w="3628"/>
          </w:tcPr>
          <w:p>
            <w:pPr>
              <w:spacing w:after="20" w:line="240" w:lineRule="auto"/>
            </w:pPr>
            <w:r/>
            <w:r>
              <w:rPr>
                <w:b w:val="0"/>
                <w:i w:val="0"/>
                <w:sz w:val="18"/>
              </w:rPr>
              <w:t>State it explicitly, either way. If the balance changed, say so plainly and say what was done.</w:t>
            </w:r>
          </w:p>
        </w:tc>
        <w:tc>
          <w:tcPr>
            <w:tcW w:type="dxa" w:w="4303"/>
          </w:tcPr>
          <w:p>
            <w:pPr>
              <w:spacing w:after="20" w:line="240" w:lineRule="auto"/>
            </w:pPr>
            <w:r/>
            <w:r>
              <w:rPr>
                <w:b w:val="0"/>
                <w:i w:val="0"/>
                <w:sz w:val="18"/>
              </w:rPr>
            </w:r>
          </w:p>
        </w:tc>
      </w:tr>
    </w:tbl>
    <w:p>
      <w:pPr>
        <w:spacing w:after="40"/>
      </w:pPr>
    </w:p>
    <w:p>
      <w:r>
        <w:rPr>
          <w:b/>
          <w:i w:val="0"/>
          <w:sz w:val="19"/>
        </w:rPr>
        <w:t>Model shape</w:t>
      </w:r>
    </w:p>
    <w:tbl>
      <w:tblPr>
        <w:tblStyle w:val="TableGrid"/>
        <w:tblW w:type="auto" w:w="0"/>
        <w:tblLook w:firstColumn="1" w:firstRow="1" w:lastColumn="0" w:lastRow="0" w:noHBand="0" w:noVBand="1" w:val="04A0"/>
        <w:tblLayout w:type="fixed"/>
      </w:tblPr>
      <w:tblGrid>
        <w:gridCol w:w="9972"/>
      </w:tblGrid>
      <w:tr>
        <w:tc>
          <w:tcPr>
            <w:tcW w:type="dxa" w:w="9972"/>
            <w:shd w:val="clear" w:color="auto" w:fill="F6F8FB"/>
          </w:tcPr>
          <w:p>
            <w:pPr>
              <w:spacing w:after="20" w:line="240" w:lineRule="auto"/>
            </w:pPr>
            <w:r/>
            <w:r>
              <w:rPr>
                <w:b w:val="0"/>
                <w:i/>
                <w:sz w:val="21"/>
              </w:rPr>
              <w:t>18.2 Benefit–risk considerations. [The anticipated benefit of [drug] is [benefit], supported by [evidence]; efficacy has not yet been demonstrated.] [The important risks remain [risks]; no new important risk emerged this period.] [These risks are managed through [measures].] [The balance for trial subjects is unchanged since the previous DSUR and supports continued development.]</w:t>
            </w:r>
          </w:p>
        </w:tc>
      </w:tr>
    </w:tbl>
    <w:p>
      <w:pPr>
        <w:spacing w:after="0"/>
      </w:pPr>
    </w:p>
    <w:p>
      <w:pPr>
        <w:pStyle w:val="ListBullet"/>
        <w:spacing w:after="40"/>
      </w:pPr>
      <w:r>
        <w:rPr>
          <w:b/>
        </w:rPr>
        <w:t xml:space="preserve">Healthy participants. </w:t>
      </w:r>
      <w:r>
        <w:t>Say that tolerance for serious risk is low, and why the balance still justifies exposing healthy volunteers (12.2, Case D).</w:t>
      </w:r>
    </w:p>
    <w:p>
      <w:pPr>
        <w:pStyle w:val="ListBullet"/>
        <w:spacing w:after="40"/>
      </w:pPr>
      <w:r>
        <w:rPr>
          <w:b/>
        </w:rPr>
        <w:t xml:space="preserve">When the balance changes. </w:t>
      </w:r>
      <w:r>
        <w:t>Report the unfavorable change together with the action that restored an acceptable balance (12.2).</w:t>
      </w:r>
    </w:p>
    <w:p>
      <w:pPr>
        <w:pStyle w:val="ListBullet"/>
        <w:spacing w:after="40"/>
      </w:pPr>
      <w:r>
        <w:rPr>
          <w:b/>
        </w:rPr>
        <w:t xml:space="preserve">Avoid. </w:t>
      </w:r>
      <w:r>
        <w:t>A borrowed sentence such as "The benefit–risk balance remains positive"; established benefit for a drug whose efficacy has not been shown; silence on change (12.9).</w:t>
      </w:r>
    </w:p>
    <w:p>
      <w:pPr>
        <w:pStyle w:val="Heading2"/>
      </w:pPr>
      <w:r>
        <w:t>Part B. One story, three times (12.5, Figure 12.3)</w:t>
      </w:r>
    </w:p>
    <w:p>
      <w:r>
        <w:rPr>
          <w:i w:val="0"/>
          <w:sz w:val="19"/>
        </w:rPr>
        <w:t>Before sign-off, read Section 18.2, Section 20 and the Executive Summary side by side. If they disagree, one of them is wrong, and Section 18 is usually the arbiter.</w:t>
      </w:r>
    </w:p>
    <w:tbl>
      <w:tblPr>
        <w:tblStyle w:val="TableGrid"/>
        <w:tblW w:type="auto" w:w="0"/>
        <w:jc w:val="center"/>
        <w:tblLayout w:type="fixed"/>
        <w:tblLook w:firstColumn="1" w:firstRow="1" w:lastColumn="0" w:lastRow="0" w:noHBand="0" w:noVBand="1" w:val="04A0"/>
        <w:tblLayout w:type="fixed"/>
      </w:tblPr>
      <w:tblGrid>
        <w:gridCol w:w="2494"/>
        <w:gridCol w:w="2190"/>
        <w:gridCol w:w="2190"/>
        <w:gridCol w:w="2190"/>
        <w:gridCol w:w="907"/>
      </w:tblGrid>
      <w:tr>
        <w:trPr>
          <w:tblHeader w:val="true"/>
          <w:cantSplit w:val="true"/>
        </w:trPr>
        <w:tc>
          <w:tcPr>
            <w:tcW w:type="dxa" w:w="2494"/>
            <w:shd w:val="clear" w:color="auto" w:fill="E8EDF4"/>
          </w:tcPr>
          <w:p>
            <w:pPr>
              <w:spacing w:after="20" w:line="240" w:lineRule="auto"/>
            </w:pPr>
            <w:r/>
            <w:r>
              <w:rPr>
                <w:b/>
                <w:i w:val="0"/>
                <w:sz w:val="19"/>
              </w:rPr>
              <w:t>Must agree on</w:t>
            </w:r>
          </w:p>
        </w:tc>
        <w:tc>
          <w:tcPr>
            <w:tcW w:type="dxa" w:w="2190"/>
            <w:shd w:val="clear" w:color="auto" w:fill="E8EDF4"/>
          </w:tcPr>
          <w:p>
            <w:pPr>
              <w:spacing w:after="20" w:line="240" w:lineRule="auto"/>
            </w:pPr>
            <w:r/>
            <w:r>
              <w:rPr>
                <w:b/>
                <w:i w:val="0"/>
                <w:sz w:val="19"/>
              </w:rPr>
              <w:t>Section 18.2</w:t>
            </w:r>
          </w:p>
        </w:tc>
        <w:tc>
          <w:tcPr>
            <w:tcW w:type="dxa" w:w="2190"/>
            <w:shd w:val="clear" w:color="auto" w:fill="E8EDF4"/>
          </w:tcPr>
          <w:p>
            <w:pPr>
              <w:spacing w:after="20" w:line="240" w:lineRule="auto"/>
            </w:pPr>
            <w:r/>
            <w:r>
              <w:rPr>
                <w:b/>
                <w:i w:val="0"/>
                <w:sz w:val="19"/>
              </w:rPr>
              <w:t>Section 20</w:t>
            </w:r>
          </w:p>
        </w:tc>
        <w:tc>
          <w:tcPr>
            <w:tcW w:type="dxa" w:w="2190"/>
            <w:shd w:val="clear" w:color="auto" w:fill="E8EDF4"/>
          </w:tcPr>
          <w:p>
            <w:pPr>
              <w:spacing w:after="20" w:line="240" w:lineRule="auto"/>
            </w:pPr>
            <w:r/>
            <w:r>
              <w:rPr>
                <w:b/>
                <w:i w:val="0"/>
                <w:sz w:val="19"/>
              </w:rPr>
              <w:t>Executive Summary</w:t>
            </w:r>
          </w:p>
        </w:tc>
        <w:tc>
          <w:tcPr>
            <w:tcW w:type="dxa" w:w="907"/>
            <w:shd w:val="clear" w:color="auto" w:fill="E8EDF4"/>
          </w:tcPr>
          <w:p>
            <w:pPr>
              <w:spacing w:after="20" w:line="240" w:lineRule="auto"/>
            </w:pPr>
            <w:r/>
            <w:r>
              <w:rPr>
                <w:b/>
                <w:i w:val="0"/>
                <w:sz w:val="19"/>
              </w:rPr>
              <w:t>Agree?</w:t>
            </w:r>
          </w:p>
        </w:tc>
      </w:tr>
      <w:tr>
        <w:trPr>
          <w:cantSplit w:val="true"/>
          <w:trHeight w:val="539"/>
        </w:trPr>
        <w:tc>
          <w:tcPr>
            <w:tcW w:type="dxa" w:w="2494"/>
          </w:tcPr>
          <w:p>
            <w:pPr>
              <w:spacing w:after="20" w:line="240" w:lineRule="auto"/>
            </w:pPr>
            <w:r/>
            <w:r>
              <w:rPr>
                <w:b/>
                <w:i w:val="0"/>
                <w:sz w:val="18"/>
              </w:rPr>
              <w:t>Whether anything changed, and what</w:t>
            </w:r>
          </w:p>
        </w:tc>
        <w:tc>
          <w:tcPr>
            <w:tcW w:type="dxa" w:w="2190"/>
          </w:tcPr>
          <w:p>
            <w:pPr>
              <w:spacing w:after="20" w:line="240" w:lineRule="auto"/>
            </w:pPr>
            <w:r/>
            <w:r>
              <w:rPr>
                <w:b w:val="0"/>
                <w:i w:val="0"/>
                <w:sz w:val="18"/>
              </w:rPr>
            </w:r>
          </w:p>
        </w:tc>
        <w:tc>
          <w:tcPr>
            <w:tcW w:type="dxa" w:w="2190"/>
          </w:tcPr>
          <w:p>
            <w:pPr>
              <w:spacing w:after="20" w:line="240" w:lineRule="auto"/>
            </w:pPr>
            <w:r/>
            <w:r>
              <w:rPr>
                <w:b w:val="0"/>
                <w:i w:val="0"/>
                <w:sz w:val="18"/>
              </w:rPr>
            </w:r>
          </w:p>
        </w:tc>
        <w:tc>
          <w:tcPr>
            <w:tcW w:type="dxa" w:w="2190"/>
          </w:tcPr>
          <w:p>
            <w:pPr>
              <w:spacing w:after="20" w:line="240" w:lineRule="auto"/>
            </w:pPr>
            <w:r/>
            <w:r>
              <w:rPr>
                <w:b w:val="0"/>
                <w:i w:val="0"/>
                <w:sz w:val="18"/>
              </w:rPr>
            </w:r>
          </w:p>
        </w:tc>
        <w:tc>
          <w:tcPr>
            <w:tcW w:type="dxa" w:w="907"/>
          </w:tcPr>
          <w:p>
            <w:pPr>
              <w:spacing w:after="20" w:line="240" w:lineRule="auto"/>
              <w:jc w:val="center"/>
            </w:pPr>
            <w:r/>
            <w:r>
              <w:rPr>
                <w:b w:val="0"/>
                <w:i w:val="0"/>
                <w:sz w:val="18"/>
              </w:rPr>
              <w:t>☐</w:t>
            </w:r>
          </w:p>
        </w:tc>
      </w:tr>
      <w:tr>
        <w:trPr>
          <w:cantSplit w:val="true"/>
          <w:trHeight w:val="539"/>
        </w:trPr>
        <w:tc>
          <w:tcPr>
            <w:tcW w:type="dxa" w:w="2494"/>
          </w:tcPr>
          <w:p>
            <w:pPr>
              <w:spacing w:after="20" w:line="240" w:lineRule="auto"/>
            </w:pPr>
            <w:r/>
            <w:r>
              <w:rPr>
                <w:b/>
                <w:i w:val="0"/>
                <w:sz w:val="18"/>
              </w:rPr>
              <w:t>Name and status of each important risk</w:t>
            </w:r>
          </w:p>
        </w:tc>
        <w:tc>
          <w:tcPr>
            <w:tcW w:type="dxa" w:w="2190"/>
          </w:tcPr>
          <w:p>
            <w:pPr>
              <w:spacing w:after="20" w:line="240" w:lineRule="auto"/>
            </w:pPr>
            <w:r/>
            <w:r>
              <w:rPr>
                <w:b w:val="0"/>
                <w:i w:val="0"/>
                <w:sz w:val="18"/>
              </w:rPr>
            </w:r>
          </w:p>
        </w:tc>
        <w:tc>
          <w:tcPr>
            <w:tcW w:type="dxa" w:w="2190"/>
          </w:tcPr>
          <w:p>
            <w:pPr>
              <w:spacing w:after="20" w:line="240" w:lineRule="auto"/>
            </w:pPr>
            <w:r/>
            <w:r>
              <w:rPr>
                <w:b w:val="0"/>
                <w:i w:val="0"/>
                <w:sz w:val="18"/>
              </w:rPr>
            </w:r>
          </w:p>
        </w:tc>
        <w:tc>
          <w:tcPr>
            <w:tcW w:type="dxa" w:w="2190"/>
          </w:tcPr>
          <w:p>
            <w:pPr>
              <w:spacing w:after="20" w:line="240" w:lineRule="auto"/>
            </w:pPr>
            <w:r/>
            <w:r>
              <w:rPr>
                <w:b w:val="0"/>
                <w:i w:val="0"/>
                <w:sz w:val="18"/>
              </w:rPr>
            </w:r>
          </w:p>
        </w:tc>
        <w:tc>
          <w:tcPr>
            <w:tcW w:type="dxa" w:w="907"/>
          </w:tcPr>
          <w:p>
            <w:pPr>
              <w:spacing w:after="20" w:line="240" w:lineRule="auto"/>
              <w:jc w:val="center"/>
            </w:pPr>
            <w:r/>
            <w:r>
              <w:rPr>
                <w:b w:val="0"/>
                <w:i w:val="0"/>
                <w:sz w:val="18"/>
              </w:rPr>
              <w:t>☐</w:t>
            </w:r>
          </w:p>
        </w:tc>
      </w:tr>
      <w:tr>
        <w:trPr>
          <w:cantSplit w:val="true"/>
          <w:trHeight w:val="539"/>
        </w:trPr>
        <w:tc>
          <w:tcPr>
            <w:tcW w:type="dxa" w:w="2494"/>
          </w:tcPr>
          <w:p>
            <w:pPr>
              <w:spacing w:after="20" w:line="240" w:lineRule="auto"/>
            </w:pPr>
            <w:r/>
            <w:r>
              <w:rPr>
                <w:b/>
                <w:i w:val="0"/>
                <w:sz w:val="18"/>
              </w:rPr>
              <w:t>Actions taken and planned</w:t>
            </w:r>
          </w:p>
        </w:tc>
        <w:tc>
          <w:tcPr>
            <w:tcW w:type="dxa" w:w="2190"/>
          </w:tcPr>
          <w:p>
            <w:pPr>
              <w:spacing w:after="20" w:line="240" w:lineRule="auto"/>
            </w:pPr>
            <w:r/>
            <w:r>
              <w:rPr>
                <w:b w:val="0"/>
                <w:i w:val="0"/>
                <w:sz w:val="18"/>
              </w:rPr>
            </w:r>
          </w:p>
        </w:tc>
        <w:tc>
          <w:tcPr>
            <w:tcW w:type="dxa" w:w="2190"/>
          </w:tcPr>
          <w:p>
            <w:pPr>
              <w:spacing w:after="20" w:line="240" w:lineRule="auto"/>
            </w:pPr>
            <w:r/>
            <w:r>
              <w:rPr>
                <w:b w:val="0"/>
                <w:i w:val="0"/>
                <w:sz w:val="18"/>
              </w:rPr>
            </w:r>
          </w:p>
        </w:tc>
        <w:tc>
          <w:tcPr>
            <w:tcW w:type="dxa" w:w="2190"/>
          </w:tcPr>
          <w:p>
            <w:pPr>
              <w:spacing w:after="20" w:line="240" w:lineRule="auto"/>
            </w:pPr>
            <w:r/>
            <w:r>
              <w:rPr>
                <w:b w:val="0"/>
                <w:i w:val="0"/>
                <w:sz w:val="18"/>
              </w:rPr>
            </w:r>
          </w:p>
        </w:tc>
        <w:tc>
          <w:tcPr>
            <w:tcW w:type="dxa" w:w="907"/>
          </w:tcPr>
          <w:p>
            <w:pPr>
              <w:spacing w:after="20" w:line="240" w:lineRule="auto"/>
              <w:jc w:val="center"/>
            </w:pPr>
            <w:r/>
            <w:r>
              <w:rPr>
                <w:b w:val="0"/>
                <w:i w:val="0"/>
                <w:sz w:val="18"/>
              </w:rPr>
              <w:t>☐</w:t>
            </w:r>
          </w:p>
        </w:tc>
      </w:tr>
      <w:tr>
        <w:trPr>
          <w:cantSplit w:val="true"/>
          <w:trHeight w:val="539"/>
        </w:trPr>
        <w:tc>
          <w:tcPr>
            <w:tcW w:type="dxa" w:w="2494"/>
          </w:tcPr>
          <w:p>
            <w:pPr>
              <w:spacing w:after="20" w:line="240" w:lineRule="auto"/>
            </w:pPr>
            <w:r/>
            <w:r>
              <w:rPr>
                <w:b/>
                <w:i w:val="0"/>
                <w:sz w:val="18"/>
              </w:rPr>
              <w:t>Direction of the benefit–risk balance</w:t>
            </w:r>
          </w:p>
        </w:tc>
        <w:tc>
          <w:tcPr>
            <w:tcW w:type="dxa" w:w="2190"/>
          </w:tcPr>
          <w:p>
            <w:pPr>
              <w:spacing w:after="20" w:line="240" w:lineRule="auto"/>
            </w:pPr>
            <w:r/>
            <w:r>
              <w:rPr>
                <w:b w:val="0"/>
                <w:i w:val="0"/>
                <w:sz w:val="18"/>
              </w:rPr>
            </w:r>
          </w:p>
        </w:tc>
        <w:tc>
          <w:tcPr>
            <w:tcW w:type="dxa" w:w="2190"/>
          </w:tcPr>
          <w:p>
            <w:pPr>
              <w:spacing w:after="20" w:line="240" w:lineRule="auto"/>
            </w:pPr>
            <w:r/>
            <w:r>
              <w:rPr>
                <w:b w:val="0"/>
                <w:i w:val="0"/>
                <w:sz w:val="18"/>
              </w:rPr>
            </w:r>
          </w:p>
        </w:tc>
        <w:tc>
          <w:tcPr>
            <w:tcW w:type="dxa" w:w="2190"/>
          </w:tcPr>
          <w:p>
            <w:pPr>
              <w:spacing w:after="20" w:line="240" w:lineRule="auto"/>
            </w:pPr>
            <w:r/>
            <w:r>
              <w:rPr>
                <w:b w:val="0"/>
                <w:i w:val="0"/>
                <w:sz w:val="18"/>
              </w:rPr>
            </w:r>
          </w:p>
        </w:tc>
        <w:tc>
          <w:tcPr>
            <w:tcW w:type="dxa" w:w="907"/>
          </w:tcPr>
          <w:p>
            <w:pPr>
              <w:spacing w:after="20" w:line="240" w:lineRule="auto"/>
              <w:jc w:val="center"/>
            </w:pPr>
            <w:r/>
            <w:r>
              <w:rPr>
                <w:b w:val="0"/>
                <w:i w:val="0"/>
                <w:sz w:val="18"/>
              </w:rPr>
              <w:t>☐</w:t>
            </w:r>
          </w:p>
        </w:tc>
      </w:tr>
    </w:tbl>
    <w:p>
      <w:pPr>
        <w:spacing w:after="40"/>
      </w:pPr>
    </w:p>
    <w:p>
      <w:r>
        <w:rPr>
          <w:i/>
          <w:sz w:val="19"/>
        </w:rPr>
        <w:t>Section 20 states changes in knowledge and actions taken and planned, with cross-references, and introduces nothing that is not in the body (12.3).</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