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5555"/>
          <w:sz w:val="17"/>
        </w:rPr>
        <w:t>CHAPTER 12 · TEMPLATE</w:t>
      </w:r>
    </w:p>
    <w:p>
      <w:pPr>
        <w:pStyle w:val="Heading1"/>
      </w:pPr>
      <w:r>
        <w:t>Executive Summary Template</w:t>
      </w:r>
    </w:p>
    <w:p>
      <w:r>
        <w:rPr>
          <w:i/>
          <w:color w:val="555555"/>
          <w:sz w:val="19"/>
        </w:rPr>
        <w:t>Write it last, from the finished body: one to two pages, every item with a source section, and nothing that is not in the body (12.4). Together with the title page it can serve as a stand-alone report to ethics committees (E2F §1.5; 12.8). Replace each [placeholder]; delete the gray guidance.</w:t>
      </w:r>
    </w:p>
    <w:p>
      <w:r>
        <w:rPr>
          <w:b/>
          <w:i w:val="0"/>
          <w:color w:val="1F3A5F"/>
          <w:sz w:val="21"/>
        </w:rPr>
        <w:t>1. The report</w:t>
      </w:r>
      <w:r>
        <w:rPr>
          <w:color w:val="555555"/>
          <w:sz w:val="17"/>
        </w:rPr>
        <w:t xml:space="preserve">   Taken from: Title page, Section 1</w:t>
      </w:r>
    </w:p>
    <w:p>
      <w:pPr>
        <w:spacing w:after="20"/>
      </w:pPr>
      <w:r>
        <w:rPr>
          <w:i w:val="0"/>
          <w:sz w:val="20"/>
        </w:rPr>
        <w:t>This is the [n] Development Safety Update Report (DSUR) for [drug], a [class] in development for [indication], covering [start date] to [end date]. [Drug] [mode of action] and is given [route], [dose and schedule], as [formulation].</w:t>
      </w:r>
    </w:p>
    <w:p>
      <w:pPr>
        <w:spacing w:after="60"/>
      </w:pPr>
      <w:r>
        <w:rPr>
          <w:i/>
          <w:color w:val="555555"/>
          <w:sz w:val="17"/>
        </w:rPr>
        <w:t>One sentence identifying the report, drug, class, indication and period; then mode of action, doses, routes and formulations.</w:t>
      </w:r>
    </w:p>
    <w:p>
      <w:r>
        <w:rPr>
          <w:b/>
          <w:i w:val="0"/>
          <w:color w:val="1F3A5F"/>
          <w:sz w:val="21"/>
        </w:rPr>
        <w:t>2. Exposure</w:t>
      </w:r>
      <w:r>
        <w:rPr>
          <w:color w:val="555555"/>
          <w:sz w:val="17"/>
        </w:rPr>
        <w:t xml:space="preserve">   Taken from: Section 6</w:t>
      </w:r>
    </w:p>
    <w:p>
      <w:pPr>
        <w:spacing w:after="20"/>
      </w:pPr>
      <w:r>
        <w:rPr>
          <w:i w:val="0"/>
          <w:sz w:val="20"/>
        </w:rPr>
        <w:t>Since the development international birth date, approximately [n] subjects have received [drug] and [n] [placebo or comparator] in the sponsor's trials. [Method for any blinded trial, and that no data were unblinded.]</w:t>
      </w:r>
    </w:p>
    <w:p>
      <w:pPr>
        <w:spacing w:after="60"/>
      </w:pPr>
      <w:r>
        <w:rPr>
          <w:i/>
          <w:color w:val="555555"/>
          <w:sz w:val="17"/>
        </w:rPr>
        <w:t>Cumulative subjects, by arm where known.</w:t>
      </w:r>
    </w:p>
    <w:p>
      <w:r>
        <w:rPr>
          <w:b/>
          <w:i w:val="0"/>
          <w:color w:val="1F3A5F"/>
          <w:sz w:val="21"/>
        </w:rPr>
        <w:t>3. Marketing status</w:t>
      </w:r>
      <w:r>
        <w:rPr>
          <w:color w:val="555555"/>
          <w:sz w:val="17"/>
        </w:rPr>
        <w:t xml:space="preserve">   Taken from: Section 2</w:t>
      </w:r>
    </w:p>
    <w:p>
      <w:pPr>
        <w:spacing w:after="20"/>
      </w:pPr>
      <w:r>
        <w:rPr>
          <w:i w:val="0"/>
          <w:sz w:val="20"/>
        </w:rPr>
        <w:t>[Drug] is [not approved in any country / approved in [n] countries].</w:t>
      </w:r>
    </w:p>
    <w:p>
      <w:r>
        <w:rPr>
          <w:b/>
          <w:i w:val="0"/>
          <w:color w:val="1F3A5F"/>
          <w:sz w:val="21"/>
        </w:rPr>
        <w:t>4. Overall safety assessment</w:t>
      </w:r>
      <w:r>
        <w:rPr>
          <w:color w:val="555555"/>
          <w:sz w:val="17"/>
        </w:rPr>
        <w:t xml:space="preserve">   Taken from: Section 18</w:t>
      </w:r>
    </w:p>
    <w:p>
      <w:pPr>
        <w:spacing w:after="20"/>
      </w:pPr>
      <w:r>
        <w:rPr>
          <w:i w:val="0"/>
          <w:sz w:val="20"/>
        </w:rPr>
        <w:t>[What was new this period, with numbers, denominators and references; what changed; any DMC review and recommendation in full; the conclusion.]</w:t>
      </w:r>
    </w:p>
    <w:p>
      <w:pPr>
        <w:spacing w:after="60"/>
      </w:pPr>
      <w:r>
        <w:rPr>
          <w:i/>
          <w:color w:val="555555"/>
          <w:sz w:val="17"/>
        </w:rPr>
        <w:t>A short paragraph. Name the oversight: one sentence on the DMC, its reviews and its recommendations (12.8).</w:t>
      </w:r>
    </w:p>
    <w:p>
      <w:r>
        <w:rPr>
          <w:b/>
          <w:i w:val="0"/>
          <w:color w:val="1F3A5F"/>
          <w:sz w:val="21"/>
        </w:rPr>
        <w:t>5. Important risks</w:t>
      </w:r>
      <w:r>
        <w:rPr>
          <w:color w:val="555555"/>
          <w:sz w:val="17"/>
        </w:rPr>
        <w:t xml:space="preserve">   Taken from: Section 19</w:t>
      </w:r>
    </w:p>
    <w:p>
      <w:pPr>
        <w:spacing w:after="20"/>
      </w:pPr>
      <w:r>
        <w:rPr>
          <w:i w:val="0"/>
          <w:sz w:val="20"/>
        </w:rPr>
        <w:t>•  [Risk] (important [identified/potential] risk); [updated this period / unchanged].</w:t>
        <w:br/>
        <w:t>•  [Risk] (important [identified/potential] risk); [updated this period / unchanged].</w:t>
      </w:r>
    </w:p>
    <w:p>
      <w:pPr>
        <w:spacing w:after="60"/>
      </w:pPr>
      <w:r>
        <w:rPr>
          <w:i/>
          <w:color w:val="555555"/>
          <w:sz w:val="17"/>
        </w:rPr>
        <w:t>A bulleted list, marking new or changed risks; same names and statuses as Section 19.</w:t>
      </w:r>
    </w:p>
    <w:p>
      <w:r>
        <w:rPr>
          <w:b/>
          <w:i w:val="0"/>
          <w:color w:val="1F3A5F"/>
          <w:sz w:val="21"/>
        </w:rPr>
        <w:t>6. Actions taken for safety reasons</w:t>
      </w:r>
      <w:r>
        <w:rPr>
          <w:color w:val="555555"/>
          <w:sz w:val="17"/>
        </w:rPr>
        <w:t xml:space="preserve">   Taken from: Sections 3, 4 and 17</w:t>
      </w:r>
    </w:p>
    <w:p>
      <w:pPr>
        <w:spacing w:after="20"/>
      </w:pPr>
      <w:r>
        <w:rPr>
          <w:i w:val="0"/>
          <w:sz w:val="20"/>
        </w:rPr>
        <w:t>[IB edition and date, and what it added.] [Consent forms revised for [trials] in [month year] to describe [risk], and subjects were reconsented.] [Protocol amendments, implemented or in preparation.]</w:t>
      </w:r>
    </w:p>
    <w:p>
      <w:pPr>
        <w:spacing w:after="60"/>
      </w:pPr>
      <w:r>
        <w:rPr>
          <w:i/>
          <w:color w:val="555555"/>
          <w:sz w:val="17"/>
        </w:rPr>
        <w:t>Include significant IB changes, and state consent changes explicitly (12.8).</w:t>
      </w:r>
    </w:p>
    <w:p>
      <w:r>
        <w:rPr>
          <w:b/>
          <w:i w:val="0"/>
          <w:color w:val="1F3A5F"/>
          <w:sz w:val="21"/>
        </w:rPr>
        <w:t>7. Conclusion</w:t>
      </w:r>
      <w:r>
        <w:rPr>
          <w:color w:val="555555"/>
          <w:sz w:val="17"/>
        </w:rPr>
        <w:t xml:space="preserve">   Taken from: Sections 18.2 and 20</w:t>
      </w:r>
    </w:p>
    <w:p>
      <w:pPr>
        <w:spacing w:after="20"/>
      </w:pPr>
      <w:r>
        <w:rPr>
          <w:i w:val="0"/>
          <w:sz w:val="20"/>
        </w:rPr>
        <w:t>[Anticipated benefit and its evidence], and [important risks and how they are managed], give a benefit–risk balance for trial subjects that is [unchanged / changed, with the action taken] since the previous DSUR. [Development continues with ...]</w:t>
      </w:r>
    </w:p>
    <w:p>
      <w:pPr>
        <w:spacing w:after="60"/>
      </w:pPr>
      <w:r>
        <w:rPr>
          <w:i/>
          <w:color w:val="555555"/>
          <w:sz w:val="17"/>
        </w:rPr>
        <w:t>Write the benefit–risk sentence for trial participants, not future patients.</w:t>
      </w:r>
    </w:p>
    <w:p>
      <w:pPr>
        <w:pStyle w:val="Heading2"/>
      </w:pPr>
      <w:r>
        <w:t>Before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137"/>
        <w:gridCol w:w="2835"/>
      </w:tblGrid>
      <w:tr>
        <w:trPr>
          <w:tblHeader w:val="true"/>
          <w:cantSplit w:val="true"/>
        </w:trPr>
        <w:tc>
          <w:tcPr>
            <w:tcW w:type="dxa" w:w="7137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Stand-alone test (12.4)</w:t>
            </w:r>
          </w:p>
        </w:tc>
        <w:tc>
          <w:tcPr>
            <w:tcW w:type="dxa" w:w="2835"/>
            <w:shd w:val="clear" w:color="auto" w:fill="E8EDF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Can a reader who has seen nothing else answer it?</w:t>
            </w:r>
          </w:p>
        </w:tc>
      </w:tr>
      <w:tr>
        <w:trPr>
          <w:cantSplit w:val="true"/>
        </w:trPr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What is this drug and who is receiving it?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What are its important risks, and did anything change this year?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13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What is the sponsor doing about it?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spacing w:after="40"/>
      </w:pPr>
      <w:r>
        <w:t>☐  Covers every item E2F lists (Figure 12.2), and nothing that is not in the body.</w:t>
      </w:r>
    </w:p>
    <w:p>
      <w:pPr>
        <w:spacing w:after="40"/>
      </w:pPr>
      <w:r>
        <w:t>☐  One to two pages.</w:t>
      </w:r>
    </w:p>
    <w:p>
      <w:pPr>
        <w:spacing w:after="40"/>
      </w:pPr>
      <w:r>
        <w:t>☐  Every abbreviation defined; ordinary words instead of MedDRA terms where possible; numbers with denominators (12.8).</w:t>
      </w:r>
    </w:p>
    <w:p>
      <w:pPr>
        <w:spacing w:after="40"/>
      </w:pPr>
      <w:r>
        <w:t>☐  Agrees with Sections 18.2 and 20 (12.5).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Companion material to Writing the DSUR (Selim Medical Press). Fictional data. Not regulatory advice. CC BY-NC 4.0.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