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55555"/>
          <w:sz w:val="17"/>
        </w:rPr>
        <w:t>CHAPTER 12 · EXERCISE 1 · EXERCISE MATERIAL</w:t>
      </w:r>
    </w:p>
    <w:p>
      <w:pPr>
        <w:pStyle w:val="Heading1"/>
      </w:pPr>
      <w:r>
        <w:t>Three Weak Benefit–Risk Statements</w:t>
      </w:r>
    </w:p>
    <w:p>
      <w:r>
        <w:rPr>
          <w:i/>
          <w:color w:val="555555"/>
          <w:sz w:val="19"/>
        </w:rPr>
        <w:t>Each statement below was found in a draft Section 18.2. Strengthen each one in no more than 100 words, using only the facts given. A good statement names the anticipated benefit and its evidence, names the important risks, says how they are controlled in the trials, and says whether the balance has changed since the previous DSUR (Figure 12.1). Use [placeholders] for data not given. Model answers are in Appendix E.</w:t>
      </w:r>
    </w:p>
    <w:p>
      <w:pPr>
        <w:pStyle w:val="Heading2"/>
      </w:pPr>
      <w:r>
        <w:t>1. ONK-417 (Case A), DSUR 3</w:t>
      </w:r>
    </w:p>
    <w:tbl>
      <w:tblPr>
        <w:tblStyle w:val="TableGrid"/>
        <w:tblW w:type="auto" w:w="0"/>
        <w:tblLook w:firstColumn="1" w:firstRow="1" w:lastColumn="0" w:lastRow="0" w:noHBand="0" w:noVBand="1" w:val="04A0"/>
        <w:tblLayout w:type="fixed"/>
      </w:tblPr>
      <w:tblGrid>
        <w:gridCol w:w="9972"/>
      </w:tblGrid>
      <w:tr>
        <w:tc>
          <w:tcPr>
            <w:tcW w:type="dxa" w:w="9972"/>
            <w:shd w:val="clear" w:color="auto" w:fill="F6F8FB"/>
          </w:tcPr>
          <w:p>
            <w:pPr>
              <w:spacing w:after="20" w:line="240" w:lineRule="auto"/>
            </w:pPr>
            <w:r/>
            <w:r>
              <w:rPr>
                <w:b w:val="0"/>
                <w:i/>
                <w:sz w:val="21"/>
              </w:rPr>
              <w:t>Weak statement: "The benefit–risk profile of ONK-417 remains favorable."</w:t>
            </w:r>
          </w:p>
        </w:tc>
      </w:tr>
    </w:tbl>
    <w:p>
      <w:pPr>
        <w:spacing w:after="0"/>
      </w:pPr>
    </w:p>
    <w:p>
      <w:r>
        <w:rPr>
          <w:b/>
          <w:i w:val="0"/>
          <w:sz w:val="19"/>
        </w:rPr>
        <w:t>What you know</w:t>
      </w:r>
    </w:p>
    <w:p>
      <w:pPr>
        <w:pStyle w:val="ListBullet"/>
        <w:spacing w:after="40"/>
      </w:pPr>
      <w:r>
        <w:rPr>
          <w:sz w:val="19"/>
        </w:rPr>
        <w:t>Oral kinase inhibitor in subjects with advanced solid tumors who have exhausted standard therapy. DSUR 3 covers 14 March 2026 to 13 March 2027.</w:t>
      </w:r>
    </w:p>
    <w:p>
      <w:pPr>
        <w:pStyle w:val="ListBullet"/>
        <w:spacing w:after="40"/>
      </w:pPr>
      <w:r>
        <w:rPr>
          <w:sz w:val="19"/>
        </w:rPr>
        <w:t>Trials: ONK-101 dose escalation (completed); ONK-201 and ONK-202, Phase 2 expansion cohorts at 300 mg (ongoing). The anticipated benefit rests on [responses] in ONK-101; efficacy has not been established.</w:t>
      </w:r>
    </w:p>
    <w:p>
      <w:pPr>
        <w:pStyle w:val="ListBullet"/>
        <w:spacing w:after="40"/>
      </w:pPr>
      <w:r>
        <w:rPr>
          <w:sz w:val="19"/>
        </w:rPr>
        <w:t>Neutropenia (important identified): dose-limiting at 400 mg; managed through the 300 mg dose cap and weekly blood counts in cycle 1.</w:t>
      </w:r>
    </w:p>
    <w:p>
      <w:pPr>
        <w:pStyle w:val="ListBullet"/>
        <w:spacing w:after="40"/>
      </w:pPr>
      <w:r>
        <w:rPr>
          <w:sz w:val="19"/>
        </w:rPr>
        <w:t>Hepatotoxicity: reclassified this period from important potential to important identified after three further cases with a consistent pattern; IB warning added; protocols now require liver tests every two weeks for three months, with interruption rules.</w:t>
      </w:r>
    </w:p>
    <w:p>
      <w:pPr>
        <w:pStyle w:val="ListBullet"/>
        <w:spacing w:after="40"/>
      </w:pPr>
      <w:r>
        <w:rPr>
          <w:sz w:val="19"/>
        </w:rPr>
        <w:t>Interstitial lung disease remains potential (class; no case). QT prolongation remains resolved.</w:t>
      </w:r>
    </w:p>
    <w:p>
      <w:pPr>
        <w:pStyle w:val="ListBullet"/>
        <w:spacing w:after="40"/>
      </w:pPr>
      <w:r>
        <w:rPr>
          <w:sz w:val="19"/>
        </w:rPr>
        <w:t>The safety physician judges the balance for trial subjects acceptable and unchanged since DSUR 2.</w:t>
      </w:r>
    </w:p>
    <w:tbl>
      <w:tblPr>
        <w:tblStyle w:val="TableGrid"/>
        <w:tblW w:type="auto" w:w="0"/>
        <w:jc w:val="center"/>
        <w:tblLook w:firstColumn="1" w:firstRow="1" w:lastColumn="0" w:lastRow="0" w:noHBand="0" w:noVBand="1" w:val="04A0"/>
        <w:tblLayout w:type="fixed"/>
      </w:tblPr>
      <w:tblGrid>
        <w:gridCol w:w="9972"/>
      </w:tblGrid>
      <w:tr>
        <w:trPr>
          <w:cantSplit w:val="true"/>
        </w:trPr>
        <w:tc>
          <w:tcPr>
            <w:tcW w:type="dxa" w:w="9972"/>
          </w:tcPr>
          <w:p>
            <w:r/>
            <w:r>
              <w:rPr>
                <w:b/>
                <w:color w:val="1F3A5F"/>
                <w:sz w:val="19"/>
              </w:rPr>
              <w:t>Your statement (no more than 100 words)</w:t>
            </w:r>
          </w:p>
          <w:p/>
          <w:p/>
          <w:p/>
          <w:p/>
        </w:tc>
      </w:tr>
    </w:tbl>
    <w:p>
      <w:pPr>
        <w:spacing w:after="40"/>
      </w:pPr>
    </w:p>
    <w:p>
      <w:pPr>
        <w:pStyle w:val="Heading2"/>
      </w:pPr>
      <w:r>
        <w:t>2. XB-7 (Case B), DSUR 5</w:t>
      </w:r>
    </w:p>
    <w:tbl>
      <w:tblPr>
        <w:tblStyle w:val="TableGrid"/>
        <w:tblW w:type="auto" w:w="0"/>
        <w:tblLook w:firstColumn="1" w:firstRow="1" w:lastColumn="0" w:lastRow="0" w:noHBand="0" w:noVBand="1" w:val="04A0"/>
        <w:tblLayout w:type="fixed"/>
      </w:tblPr>
      <w:tblGrid>
        <w:gridCol w:w="9972"/>
      </w:tblGrid>
      <w:tr>
        <w:tc>
          <w:tcPr>
            <w:tcW w:type="dxa" w:w="9972"/>
            <w:shd w:val="clear" w:color="auto" w:fill="F6F8FB"/>
          </w:tcPr>
          <w:p>
            <w:pPr>
              <w:spacing w:after="20" w:line="240" w:lineRule="auto"/>
            </w:pPr>
            <w:r/>
            <w:r>
              <w:rPr>
                <w:b w:val="0"/>
                <w:i/>
                <w:sz w:val="21"/>
              </w:rPr>
              <w:t>Weak statement: "The benefits of XB-7 outweigh its risks."</w:t>
            </w:r>
          </w:p>
        </w:tc>
      </w:tr>
    </w:tbl>
    <w:p>
      <w:pPr>
        <w:spacing w:after="0"/>
      </w:pPr>
    </w:p>
    <w:p>
      <w:r>
        <w:rPr>
          <w:b/>
          <w:i w:val="0"/>
          <w:sz w:val="19"/>
        </w:rPr>
        <w:t>What you know</w:t>
      </w:r>
    </w:p>
    <w:p>
      <w:pPr>
        <w:pStyle w:val="ListBullet"/>
        <w:spacing w:after="40"/>
      </w:pPr>
      <w:r>
        <w:rPr>
          <w:sz w:val="19"/>
        </w:rPr>
        <w:t>Monoclonal antibody in adults with moderate-to-severe [autoimmune disease]. DSUR 5 covers 2 September 2025 to 1 September 2026.</w:t>
      </w:r>
    </w:p>
    <w:p>
      <w:pPr>
        <w:pStyle w:val="ListBullet"/>
        <w:spacing w:after="40"/>
      </w:pPr>
      <w:r>
        <w:rPr>
          <w:sz w:val="19"/>
        </w:rPr>
        <w:t>The completed placebo-controlled Phase 2 trial XB-201 met its primary endpoint: reduced disease activity at week 24 compared with placebo. The Phase 3 trial XB-301 is ongoing and blinded.</w:t>
      </w:r>
    </w:p>
    <w:p>
      <w:pPr>
        <w:pStyle w:val="ListBullet"/>
        <w:spacing w:after="40"/>
      </w:pPr>
      <w:r>
        <w:rPr>
          <w:sz w:val="19"/>
        </w:rPr>
        <w:t>Important risks: serious infections (important identified; sepsis added to the IB in March 2026; 14 events in the period, modestly above the expected rate) and injection-site reactions (important identified). No new important risk emerged.</w:t>
      </w:r>
    </w:p>
    <w:p>
      <w:pPr>
        <w:pStyle w:val="ListBullet"/>
        <w:spacing w:after="40"/>
      </w:pPr>
      <w:r>
        <w:rPr>
          <w:sz w:val="19"/>
        </w:rPr>
        <w:t>Controls: eligibility criteria, infection monitoring, Data Monitoring Committee (DMC) review and, after the data lock point, the DMC's recommendation of closer monitoring for subjects aged 75 or older or on corticosteroids, which the sponsor accepted.</w:t>
      </w:r>
    </w:p>
    <w:p>
      <w:pPr>
        <w:pStyle w:val="ListBullet"/>
        <w:spacing w:after="40"/>
      </w:pPr>
      <w:r>
        <w:rPr>
          <w:sz w:val="19"/>
        </w:rPr>
        <w:t>The balance for trial subjects is judged unchanged since DSUR 4.</w:t>
      </w:r>
    </w:p>
    <w:tbl>
      <w:tblPr>
        <w:tblStyle w:val="TableGrid"/>
        <w:tblW w:type="auto" w:w="0"/>
        <w:jc w:val="center"/>
        <w:tblLook w:firstColumn="1" w:firstRow="1" w:lastColumn="0" w:lastRow="0" w:noHBand="0" w:noVBand="1" w:val="04A0"/>
        <w:tblLayout w:type="fixed"/>
      </w:tblPr>
      <w:tblGrid>
        <w:gridCol w:w="9972"/>
      </w:tblGrid>
      <w:tr>
        <w:trPr>
          <w:cantSplit w:val="true"/>
        </w:trPr>
        <w:tc>
          <w:tcPr>
            <w:tcW w:type="dxa" w:w="9972"/>
          </w:tcPr>
          <w:p>
            <w:r/>
            <w:r>
              <w:rPr>
                <w:b/>
                <w:color w:val="1F3A5F"/>
                <w:sz w:val="19"/>
              </w:rPr>
              <w:t>Your statement (no more than 100 words)</w:t>
            </w:r>
          </w:p>
          <w:p/>
          <w:p/>
          <w:p/>
          <w:p/>
        </w:tc>
      </w:tr>
    </w:tbl>
    <w:p>
      <w:pPr>
        <w:spacing w:after="40"/>
      </w:pPr>
    </w:p>
    <w:p>
      <w:pPr>
        <w:pStyle w:val="Heading2"/>
      </w:pPr>
      <w:r>
        <w:t>3. GT-5 (Case E)</w:t>
      </w:r>
    </w:p>
    <w:tbl>
      <w:tblPr>
        <w:tblStyle w:val="TableGrid"/>
        <w:tblW w:type="auto" w:w="0"/>
        <w:tblLook w:firstColumn="1" w:firstRow="1" w:lastColumn="0" w:lastRow="0" w:noHBand="0" w:noVBand="1" w:val="04A0"/>
        <w:tblLayout w:type="fixed"/>
      </w:tblPr>
      <w:tblGrid>
        <w:gridCol w:w="9972"/>
      </w:tblGrid>
      <w:tr>
        <w:tc>
          <w:tcPr>
            <w:tcW w:type="dxa" w:w="9972"/>
            <w:shd w:val="clear" w:color="auto" w:fill="F6F8FB"/>
          </w:tcPr>
          <w:p>
            <w:pPr>
              <w:spacing w:after="20" w:line="240" w:lineRule="auto"/>
            </w:pPr>
            <w:r/>
            <w:r>
              <w:rPr>
                <w:b w:val="0"/>
                <w:i/>
                <w:sz w:val="21"/>
              </w:rPr>
              <w:t>Weak statement: "No change in benefit–risk."</w:t>
            </w:r>
          </w:p>
        </w:tc>
      </w:tr>
    </w:tbl>
    <w:p>
      <w:pPr>
        <w:spacing w:after="0"/>
      </w:pPr>
    </w:p>
    <w:p>
      <w:r>
        <w:rPr>
          <w:b/>
          <w:i w:val="0"/>
          <w:sz w:val="19"/>
        </w:rPr>
        <w:t>What you know</w:t>
      </w:r>
    </w:p>
    <w:p>
      <w:pPr>
        <w:pStyle w:val="ListBullet"/>
        <w:spacing w:after="40"/>
      </w:pPr>
      <w:r>
        <w:rPr>
          <w:sz w:val="19"/>
        </w:rPr>
        <w:t>One-time AAV gene therapy for a rare neuromuscular disease. GT-101 (12 subjects) and GT-301 (24 subjects) are completed; all 36 dosed subjects are followed in GT-LTFU.</w:t>
      </w:r>
    </w:p>
    <w:p>
      <w:pPr>
        <w:pStyle w:val="ListBullet"/>
        <w:spacing w:after="40"/>
      </w:pPr>
      <w:r>
        <w:rPr>
          <w:sz w:val="19"/>
        </w:rPr>
        <w:t>The anticipated benefit rests on [functional outcomes] in GT-101 and GT-301.</w:t>
      </w:r>
    </w:p>
    <w:p>
      <w:pPr>
        <w:pStyle w:val="ListBullet"/>
        <w:spacing w:after="40"/>
      </w:pPr>
      <w:r>
        <w:rPr>
          <w:sz w:val="19"/>
        </w:rPr>
        <w:t>Hepatotoxicity (important identified): transaminase rises in the first eight weeks after dosing, managed with corticosteroids, not recurring in follow-up.</w:t>
      </w:r>
    </w:p>
    <w:p>
      <w:pPr>
        <w:pStyle w:val="ListBullet"/>
        <w:spacing w:after="40"/>
      </w:pPr>
      <w:r>
        <w:rPr>
          <w:sz w:val="19"/>
        </w:rPr>
        <w:t>Oncogenicity (important potential): theoretical, from the class; no malignancy in 124 subject-years of follow-up (median 3.4 years). Immune responses to the vector or transgene product (important potential): no clinical consequence identified.</w:t>
      </w:r>
    </w:p>
    <w:p>
      <w:pPr>
        <w:pStyle w:val="ListBullet"/>
        <w:spacing w:after="40"/>
      </w:pPr>
      <w:r>
        <w:rPr>
          <w:sz w:val="19"/>
        </w:rPr>
        <w:t>This period's new information is follow-up only: no new malignancy, no new neurologic event of special interest, no late hepatic event, no subject lost to follow-up.</w:t>
      </w:r>
    </w:p>
    <w:tbl>
      <w:tblPr>
        <w:tblStyle w:val="TableGrid"/>
        <w:tblW w:type="auto" w:w="0"/>
        <w:jc w:val="center"/>
        <w:tblLook w:firstColumn="1" w:firstRow="1" w:lastColumn="0" w:lastRow="0" w:noHBand="0" w:noVBand="1" w:val="04A0"/>
        <w:tblLayout w:type="fixed"/>
      </w:tblPr>
      <w:tblGrid>
        <w:gridCol w:w="9972"/>
      </w:tblGrid>
      <w:tr>
        <w:trPr>
          <w:cantSplit w:val="true"/>
        </w:trPr>
        <w:tc>
          <w:tcPr>
            <w:tcW w:type="dxa" w:w="9972"/>
          </w:tcPr>
          <w:p>
            <w:r/>
            <w:r>
              <w:rPr>
                <w:b/>
                <w:color w:val="1F3A5F"/>
                <w:sz w:val="19"/>
              </w:rPr>
              <w:t>Your statement (no more than 100 words)</w:t>
            </w:r>
          </w:p>
          <w:p/>
          <w:p/>
          <w:p/>
          <w:p/>
        </w:tc>
      </w:tr>
    </w:tbl>
    <w:p>
      <w:pPr>
        <w:spacing w:after="4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