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55555"/>
          <w:sz w:val="17"/>
        </w:rPr>
        <w:t>CHAPTER 12 · EXERCISE 2 · EXERCISE MATERIAL</w:t>
      </w:r>
    </w:p>
    <w:p>
      <w:pPr>
        <w:pStyle w:val="Heading1"/>
      </w:pPr>
      <w:r>
        <w:t>ONK-417 DSUR 3: Section 20 Against Section 18</w:t>
      </w:r>
    </w:p>
    <w:p>
      <w:r>
        <w:rPr>
          <w:i/>
          <w:color w:val="555555"/>
          <w:sz w:val="19"/>
        </w:rPr>
        <w:t>Below are excerpts from ONK-417's third DSUR. Read Section 20 against Sections 17 and 18, list every inconsistency, and rewrite Section 20 so that it follows from the body. A model answer is in Appendix E.</w:t>
      </w:r>
    </w:p>
    <w:tbl>
      <w:tblPr>
        <w:tblStyle w:val="TableGrid"/>
        <w:tblW w:type="auto" w:w="0"/>
        <w:jc w:val="center"/>
        <w:tblLayout w:type="fixed"/>
        <w:tblLook w:firstColumn="1" w:firstRow="1" w:lastColumn="0" w:lastRow="0" w:noHBand="0" w:noVBand="1" w:val="04A0"/>
        <w:tblLayout w:type="fixed"/>
      </w:tblPr>
      <w:tblGrid>
        <w:gridCol w:w="2381"/>
        <w:gridCol w:w="7591"/>
      </w:tblGrid>
      <w:tr>
        <w:trPr>
          <w:tblHeader w:val="true"/>
          <w:cantSplit w:val="true"/>
        </w:trPr>
        <w:tc>
          <w:tcPr>
            <w:tcW w:type="dxa" w:w="2381"/>
            <w:shd w:val="clear" w:color="auto" w:fill="E8EDF4"/>
          </w:tcPr>
          <w:p>
            <w:pPr>
              <w:spacing w:after="20" w:line="240" w:lineRule="auto"/>
            </w:pPr>
            <w:r/>
            <w:r>
              <w:rPr>
                <w:b/>
                <w:i w:val="0"/>
                <w:sz w:val="19"/>
              </w:rPr>
              <w:t>Report</w:t>
            </w:r>
          </w:p>
        </w:tc>
        <w:tc>
          <w:tcPr>
            <w:tcW w:type="dxa" w:w="7591"/>
            <w:shd w:val="clear" w:color="auto" w:fill="E8EDF4"/>
          </w:tcPr>
          <w:p>
            <w:pPr>
              <w:spacing w:after="20" w:line="240" w:lineRule="auto"/>
            </w:pPr>
            <w:r/>
            <w:r>
              <w:rPr>
                <w:b/>
                <w:i w:val="0"/>
                <w:sz w:val="19"/>
              </w:rPr>
              <w:t>Detail</w:t>
            </w:r>
          </w:p>
        </w:tc>
      </w:tr>
      <w:tr>
        <w:trPr>
          <w:cantSplit w:val="true"/>
        </w:trPr>
        <w:tc>
          <w:tcPr>
            <w:tcW w:type="dxa" w:w="2381"/>
          </w:tcPr>
          <w:p>
            <w:pPr>
              <w:spacing w:after="20" w:line="240" w:lineRule="auto"/>
            </w:pPr>
            <w:r/>
            <w:r>
              <w:rPr>
                <w:b/>
                <w:i w:val="0"/>
                <w:sz w:val="18"/>
              </w:rPr>
              <w:t>Product</w:t>
            </w:r>
          </w:p>
        </w:tc>
        <w:tc>
          <w:tcPr>
            <w:tcW w:type="dxa" w:w="7591"/>
          </w:tcPr>
          <w:p>
            <w:pPr>
              <w:spacing w:after="20" w:line="240" w:lineRule="auto"/>
            </w:pPr>
            <w:r/>
            <w:r>
              <w:rPr>
                <w:b w:val="0"/>
                <w:i w:val="0"/>
                <w:sz w:val="18"/>
              </w:rPr>
              <w:t>ONK-417, oral kinase inhibitor, advanced solid tumors (Case A)</w:t>
            </w:r>
          </w:p>
        </w:tc>
      </w:tr>
      <w:tr>
        <w:trPr>
          <w:cantSplit w:val="true"/>
        </w:trPr>
        <w:tc>
          <w:tcPr>
            <w:tcW w:type="dxa" w:w="2381"/>
          </w:tcPr>
          <w:p>
            <w:pPr>
              <w:spacing w:after="20" w:line="240" w:lineRule="auto"/>
            </w:pPr>
            <w:r/>
            <w:r>
              <w:rPr>
                <w:b/>
                <w:i w:val="0"/>
                <w:sz w:val="18"/>
              </w:rPr>
              <w:t>Report</w:t>
            </w:r>
          </w:p>
        </w:tc>
        <w:tc>
          <w:tcPr>
            <w:tcW w:type="dxa" w:w="7591"/>
          </w:tcPr>
          <w:p>
            <w:pPr>
              <w:spacing w:after="20" w:line="240" w:lineRule="auto"/>
            </w:pPr>
            <w:r/>
            <w:r>
              <w:rPr>
                <w:b w:val="0"/>
                <w:i w:val="0"/>
                <w:sz w:val="18"/>
              </w:rPr>
              <w:t>DSUR 3, reporting period 14 March 2026 to 13 March 2027; data lock point 13 March 2027; submission due 12 May 2027</w:t>
            </w:r>
          </w:p>
        </w:tc>
      </w:tr>
      <w:tr>
        <w:trPr>
          <w:cantSplit w:val="true"/>
        </w:trPr>
        <w:tc>
          <w:tcPr>
            <w:tcW w:type="dxa" w:w="2381"/>
          </w:tcPr>
          <w:p>
            <w:pPr>
              <w:spacing w:after="20" w:line="240" w:lineRule="auto"/>
            </w:pPr>
            <w:r/>
            <w:r>
              <w:rPr>
                <w:b/>
                <w:i w:val="0"/>
                <w:sz w:val="18"/>
              </w:rPr>
              <w:t>Agreed late-breaking cut-off</w:t>
            </w:r>
          </w:p>
        </w:tc>
        <w:tc>
          <w:tcPr>
            <w:tcW w:type="dxa" w:w="7591"/>
          </w:tcPr>
          <w:p>
            <w:pPr>
              <w:spacing w:after="20" w:line="240" w:lineRule="auto"/>
            </w:pPr>
            <w:r/>
            <w:r>
              <w:rPr>
                <w:b w:val="0"/>
                <w:i w:val="0"/>
                <w:sz w:val="18"/>
              </w:rPr>
              <w:t>7 April 2027 (start of the consolidated review)</w:t>
            </w:r>
          </w:p>
        </w:tc>
      </w:tr>
      <w:tr>
        <w:trPr>
          <w:cantSplit w:val="true"/>
        </w:trPr>
        <w:tc>
          <w:tcPr>
            <w:tcW w:type="dxa" w:w="2381"/>
          </w:tcPr>
          <w:p>
            <w:pPr>
              <w:spacing w:after="20" w:line="240" w:lineRule="auto"/>
            </w:pPr>
            <w:r/>
            <w:r>
              <w:rPr>
                <w:b/>
                <w:i w:val="0"/>
                <w:sz w:val="18"/>
              </w:rPr>
              <w:t>Trials</w:t>
            </w:r>
          </w:p>
        </w:tc>
        <w:tc>
          <w:tcPr>
            <w:tcW w:type="dxa" w:w="7591"/>
          </w:tcPr>
          <w:p>
            <w:pPr>
              <w:spacing w:after="20" w:line="240" w:lineRule="auto"/>
            </w:pPr>
            <w:r/>
            <w:r>
              <w:rPr>
                <w:b w:val="0"/>
                <w:i w:val="0"/>
                <w:sz w:val="18"/>
              </w:rPr>
              <w:t>ONK-101 and ONK-103 (completed); ONK-201 and ONK-202, Phase 2 expansion cohorts at 300 mg (ongoing)</w:t>
            </w:r>
          </w:p>
        </w:tc>
      </w:tr>
    </w:tbl>
    <w:p>
      <w:pPr>
        <w:spacing w:after="40"/>
      </w:pPr>
    </w:p>
    <w:p>
      <w:pPr>
        <w:pStyle w:val="Heading2"/>
      </w:pPr>
      <w:r>
        <w:t>17. Late-Breaking Information</w:t>
      </w:r>
    </w:p>
    <w:p>
      <w:r>
        <w:rPr>
          <w:i w:val="0"/>
        </w:rPr>
        <w:t>No significant safety information was received between the data lock point (13 March 2027) and the agreed cut-off date of 7 April 2027.</w:t>
      </w:r>
    </w:p>
    <w:p>
      <w:pPr>
        <w:pStyle w:val="Heading2"/>
      </w:pPr>
      <w:r>
        <w:t>18. Overall Safety Assessment (excerpt)</w:t>
      </w:r>
    </w:p>
    <w:p>
      <w:r>
        <w:rPr>
          <w:b/>
          <w:i w:val="0"/>
          <w:sz w:val="21"/>
        </w:rPr>
        <w:t>18.1 Evaluation of the risks</w:t>
      </w:r>
    </w:p>
    <w:p>
      <w:r>
        <w:rPr>
          <w:i w:val="0"/>
        </w:rPr>
        <w:t>One important change occurred in the safety profile of ONK-417 during the period: hepatotoxicity has been reclassified from an important potential risk to an important identified risk. The other important risks are unchanged.</w:t>
      </w:r>
    </w:p>
    <w:p>
      <w:r>
        <w:rPr>
          <w:b/>
        </w:rPr>
        <w:t xml:space="preserve">Hepatotoxicity. </w:t>
      </w:r>
      <w:r>
        <w:rPr>
          <w:i w:val="0"/>
        </w:rPr>
        <w:t>During the period, three subjects in ONK-201 and ONK-202 had ALT above 3 times the upper limit of normal, bringing the cumulative number to five of 148 subjects treated with ONK-417. The three new cases share a pattern: onset within eight weeks of starting treatment, resolution on interruption of ONK-417, and recurrence on rechallenge in one subject. The two earlier cases, reported in DSUR 2, each had another possible cause, but both also began early in treatment and resolved on interruption. The 26-week rat study showed hepatocellular hypertrophy with single-cell necrosis at 4 times the human exposure at 300 mg, which makes a drug effect biologically plausible. Taken together, the consistent time course, dechallenge, positive rechallenge and nonclinical findings provide adequate evidence of an association.</w:t>
      </w:r>
    </w:p>
    <w:p>
      <w:r>
        <w:rPr>
          <w:i w:val="0"/>
        </w:rPr>
        <w:t>For subjects in the trials, the risk appears early, is detectable by liver tests and has reversed on interruption. The safety management team reclassified hepatotoxicity as an important identified risk. IB Edition 2, adopted in October 2026, added a hepatotoxicity warning (Section 4). Protocol amendment 6 added liver tests every two weeks for the first three months of treatment and rules for interrupting and discontinuing ONK-417 (Section 3), and consent forms were revised. The Summary of Important Risks has been updated (Section 19).</w:t>
      </w:r>
    </w:p>
    <w:p>
      <w:r>
        <w:rPr>
          <w:b/>
        </w:rPr>
        <w:t xml:space="preserve">Neutropenia. </w:t>
      </w:r>
      <w:r>
        <w:rPr>
          <w:i w:val="0"/>
        </w:rPr>
        <w:t>Neutropenia remains consistent in frequency and nature with previous experience at 300 mg; weekly blood counts in cycle 1 are retained.</w:t>
      </w:r>
    </w:p>
    <w:p>
      <w:r>
        <w:rPr>
          <w:b/>
        </w:rPr>
        <w:t xml:space="preserve">Interstitial lung disease. </w:t>
      </w:r>
      <w:r>
        <w:rPr>
          <w:i w:val="0"/>
        </w:rPr>
        <w:t>No case of interstitial lung disease has been reported among 148 subjects treated with ONK-417. One case of pneumonitis after thoracic radiotherapy was assessed by the investigator and the sponsor as radiation-related. The risk remains potential, based on the class.</w:t>
      </w:r>
    </w:p>
    <w:p>
      <w:r>
        <w:rPr>
          <w:b/>
        </w:rPr>
        <w:t xml:space="preserve">QT prolongation. </w:t>
      </w:r>
      <w:r>
        <w:rPr>
          <w:i w:val="0"/>
        </w:rPr>
        <w:t>QT prolongation remains resolved (Section 19).</w:t>
      </w:r>
    </w:p>
    <w:p>
      <w:r>
        <w:rPr>
          <w:i/>
          <w:color w:val="555555"/>
          <w:sz w:val="19"/>
        </w:rPr>
        <w:t>[Other points considered: not reproduced in this excerpt.]</w:t>
      </w:r>
    </w:p>
    <w:p>
      <w:r>
        <w:rPr>
          <w:b/>
          <w:i w:val="0"/>
          <w:sz w:val="21"/>
        </w:rPr>
        <w:t>18.2 Benefit–risk considerations</w:t>
      </w:r>
    </w:p>
    <w:p>
      <w:r>
        <w:rPr>
          <w:i w:val="0"/>
        </w:rPr>
        <w:t>ONK-417 is studied in subjects with advanced solid tumors who have exhausted standard therapy; its anticipated benefit rests on [responses] in ONK-101 and is being assessed in the expansion cohorts. Hepatotoxicity is now an identified risk. With neutropenia, it is managed through the 300 mg maximum dose, blood counts and liver tests, and interruption rules. The balance for trial subjects is considered acceptable and unchanged since the previous DSUR.</w:t>
      </w:r>
    </w:p>
    <w:p>
      <w:pPr>
        <w:pStyle w:val="Heading2"/>
      </w:pPr>
      <w:r>
        <w:t>20. Conclusions</w:t>
      </w:r>
    </w:p>
    <w:p>
      <w:r>
        <w:rPr>
          <w:i w:val="0"/>
        </w:rPr>
        <w:t>No new important risk was identified for ONK-417 during the reporting period, and knowledge of its safety profile has not changed since the previous DSUR. Neutropenia remains consistent in frequency and nature with previous experience at 300 mg, with weekly blood counts in cycle 1. No case of interstitial lung disease has been observed, and QT prolongation remains resolved (Section 19). A further case of ALT above 3 times the upper limit of normal, received from ONK-202 on 21 April 2027, is consistent with this assessment. Development continues in the Phase 2 expansion cohorts ONK-201 and ONK-202.</w:t>
      </w:r>
    </w:p>
    <w:tbl>
      <w:tblPr>
        <w:tblStyle w:val="TableGrid"/>
        <w:tblW w:type="auto" w:w="0"/>
        <w:jc w:val="center"/>
        <w:tblLook w:firstColumn="1" w:firstRow="1" w:lastColumn="0" w:lastRow="0" w:noHBand="0" w:noVBand="1" w:val="04A0"/>
        <w:tblLayout w:type="fixed"/>
      </w:tblPr>
      <w:tblGrid>
        <w:gridCol w:w="9972"/>
      </w:tblGrid>
      <w:tr>
        <w:trPr>
          <w:cantSplit w:val="true"/>
        </w:trPr>
        <w:tc>
          <w:tcPr>
            <w:tcW w:type="dxa" w:w="9972"/>
          </w:tcPr>
          <w:p>
            <w:r/>
            <w:r>
              <w:rPr>
                <w:b/>
                <w:color w:val="1F3A5F"/>
                <w:sz w:val="19"/>
              </w:rPr>
              <w:t>Inconsistencies you found</w:t>
            </w:r>
          </w:p>
          <w:p/>
          <w:p/>
          <w:p/>
          <w:p/>
        </w:tc>
      </w:tr>
    </w:tbl>
    <w:p>
      <w:pPr>
        <w:spacing w:after="40"/>
      </w:pPr>
    </w:p>
    <w:tbl>
      <w:tblPr>
        <w:tblStyle w:val="TableGrid"/>
        <w:tblW w:type="auto" w:w="0"/>
        <w:jc w:val="center"/>
        <w:tblLook w:firstColumn="1" w:firstRow="1" w:lastColumn="0" w:lastRow="0" w:noHBand="0" w:noVBand="1" w:val="04A0"/>
        <w:tblLayout w:type="fixed"/>
      </w:tblPr>
      <w:tblGrid>
        <w:gridCol w:w="9972"/>
      </w:tblGrid>
      <w:tr>
        <w:trPr>
          <w:cantSplit w:val="true"/>
        </w:trPr>
        <w:tc>
          <w:tcPr>
            <w:tcW w:type="dxa" w:w="9972"/>
          </w:tcPr>
          <w:p>
            <w:r/>
            <w:r>
              <w:rPr>
                <w:b/>
                <w:color w:val="1F3A5F"/>
                <w:sz w:val="19"/>
              </w:rPr>
              <w:t>Your corrected Section 20</w:t>
            </w:r>
          </w:p>
          <w:p/>
          <w:p/>
          <w:p/>
          <w:p/>
          <w:p/>
          <w:p/>
          <w:p/>
        </w:tc>
      </w:tr>
    </w:tbl>
    <w:p>
      <w:pPr>
        <w:spacing w:after="4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Companion material to Writing the DSUR (Selim Medical Press). Fictional data. Not regulatory advice. CC BY-NC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