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Exercise 3 · Consistency check on a two-section excerpt</w:t>
      </w:r>
    </w:p>
    <w:p>
      <w:r>
        <w:rPr>
          <w:b w:val="0"/>
          <w:i/>
          <w:sz w:val="18"/>
        </w:rPr>
        <w:t>XB-7 (Case B) · DSUR 5, covering 2 September 2025 to 1 September 2026 · Draft 1 excerpt · Fictional data</w:t>
      </w:r>
    </w:p>
    <w:tbl>
      <w:tblPr>
        <w:tblStyle w:val="TableGrid"/>
        <w:tblW w:type="auto" w:w="0"/>
        <w:tblLook w:firstColumn="1" w:firstRow="1" w:lastColumn="0" w:lastRow="0" w:noHBand="0" w:noVBand="1" w:val="04A0"/>
      </w:tblPr>
      <w:tblGrid>
        <w:gridCol w:w="9648"/>
      </w:tblGrid>
      <w:tr>
        <w:tc>
          <w:tcPr>
            <w:tcW w:type="dxa" w:w="9648"/>
            <w:shd w:val="clear" w:color="auto" w:fill="F3F5F8"/>
          </w:tcPr>
          <w:p>
            <w:r/>
            <w:r>
              <w:rPr>
                <w:b/>
                <w:i w:val="0"/>
              </w:rPr>
              <w:t>Task.</w:t>
            </w:r>
            <w:r>
              <w:rPr>
                <w:b w:val="0"/>
                <w:i w:val="0"/>
              </w:rPr>
              <w:t xml:space="preserve"> Run a consistency check on the two sections below, using the key-figures tracker (ch13-key-figures-tracker-template.xlsx), and list every discrepancy. Enter each key figure as a row, its value in the Executive Summary and in Section 18.1 in their columns, and resolve each against its single source (table at the end). Treat the name of a risk as a key figure too: check it against the controlled terminology sheet. Answers are in Appendix E.</w:t>
            </w:r>
          </w:p>
        </w:tc>
      </w:tr>
    </w:tbl>
    <w:p>
      <w:pPr>
        <w:spacing w:after="40"/>
      </w:pPr>
    </w:p>
    <w:p>
      <w:pPr>
        <w:pStyle w:val="Heading2"/>
      </w:pPr>
      <w:r>
        <w:t>Executive Summary (extract: overall safety assessment)</w:t>
      </w:r>
    </w:p>
    <w:p>
      <w:r>
        <w:rPr>
          <w:b w:val="0"/>
          <w:i w:val="0"/>
        </w:rPr>
        <w:t>The completed Phase 2 trial XB-201 met its primary endpoint; serious infections (important identified risk) occurred at 3.1 per 100 subject-years with XB-7 and 1.9 with placebo. During the period, 15 serious infections were reported across the program, about 3.5 per 100 subject-years across all arms (approximately 400 subject-years), modestly above the 2.7 expected from XB-201's rates. Cumulatively, 30 serious infections have been reported in the program since the development international birth date.</w:t>
      </w:r>
    </w:p>
    <w:p>
      <w:r>
        <w:rPr>
          <w:b w:val="0"/>
          <w:i w:val="0"/>
        </w:rPr>
        <w:t>Two cases of sepsis, both in subjects receiving XB-7, led to an update of the Investigator's Brochure (IB): IB Edition 6 (March 2026) added sepsis as an expected serious adverse reaction, and consent forms for XB-301 and XB-302 were revised to describe it. Infections were concentrated in older subjects and those on corticosteroids. After the data lock point, the Data Monitoring Committee (DMC) reviewed unblinded data and recommended additional infection assessment at each visit for subjects aged 75 or older or receiving systemic corticosteroids, which the sponsor has accepted.</w:t>
      </w:r>
    </w:p>
    <w:p>
      <w:pPr>
        <w:pStyle w:val="Heading2"/>
      </w:pPr>
      <w:r>
        <w:t>18.1 Overall Safety Assessment (extract: serious infections)</w:t>
      </w:r>
    </w:p>
    <w:p>
      <w:r>
        <w:rPr>
          <w:b/>
          <w:i w:val="0"/>
        </w:rPr>
        <w:t>Serious infections.</w:t>
      </w:r>
      <w:r>
        <w:rPr>
          <w:b w:val="0"/>
          <w:i w:val="0"/>
        </w:rPr>
        <w:t xml:space="preserve"> Serious infections (important identified risk) remain the principal risk of XB-7. The 14 events in the period (9 in blinded XB-301 and 5 in open-label XB-302, among approximately 400 subject-years of exposure across all arms) give a rate of about 3.4 per 100 subject-years, modestly above the 2.7 expected from XB-201's rates (3.1 with XB-7, 1.9 with placebo) and XB-301's 2:1 randomization. Cumulatively, 31 serious infections have been reported in the program since the development international birth date.</w:t>
      </w:r>
    </w:p>
    <w:p>
      <w:r>
        <w:rPr>
          <w:b w:val="0"/>
          <w:i w:val="0"/>
        </w:rPr>
        <w:t>The difference is small, based on few events, and partly explained by the older, longer-treated population of XB-302; the types of infection are unchanged and none was opportunistic. Two cases of sepsis, both on XB-7, led to the update of the Investigator's Brochure in February 2026 (Section 4). Two events occurred in subjects over 75 receiving corticosteroids, a group already recognized as at higher risk; after the data lock point, the Data Monitoring Committee reviewed unblinded data and recommended additional infection assessment at each visit for subjects aged 75 or older or receiving systemic corticosteroids (Section 17), which the sponsor has accepted. The risk to current subjects is therefore unchanged in nature, and severe infections are being managed more closely in the subgroups at greatest risk (Section 19).</w:t>
      </w:r>
    </w:p>
    <w:p>
      <w:pPr>
        <w:pStyle w:val="Heading2"/>
      </w:pPr>
      <w:r>
        <w:t>Single sources for this excerpt</w:t>
      </w:r>
    </w:p>
    <w:p>
      <w:r>
        <w:rPr>
          <w:b w:val="0"/>
          <w:i/>
          <w:sz w:val="19"/>
        </w:rPr>
        <w:t>As they would be recorded in the DSUR file (Chapter 15).</w:t>
      </w:r>
    </w:p>
    <w:tbl>
      <w:tblPr>
        <w:tblStyle w:val="TableGrid"/>
        <w:tblW w:type="auto" w:w="0"/>
        <w:jc w:val="center"/>
        <w:tblLayout w:type="fixed"/>
        <w:tblLook w:firstColumn="1" w:firstRow="1" w:lastColumn="0" w:lastRow="0" w:noHBand="0" w:noVBand="1" w:val="04A0"/>
      </w:tblPr>
      <w:tblGrid>
        <w:gridCol w:w="2880"/>
        <w:gridCol w:w="3888"/>
        <w:gridCol w:w="2880"/>
      </w:tblGrid>
      <w:tr>
        <w:trPr>
          <w:tblHeader w:val="true"/>
        </w:trPr>
        <w:tc>
          <w:tcPr>
            <w:tcW w:type="dxa" w:w="2880"/>
            <w:shd w:val="clear" w:color="auto" w:fill="E8EDF4"/>
          </w:tcPr>
          <w:p>
            <w:pPr>
              <w:spacing w:after="40"/>
            </w:pPr>
            <w:r/>
            <w:r>
              <w:rPr>
                <w:b/>
                <w:i w:val="0"/>
                <w:sz w:val="19"/>
              </w:rPr>
              <w:t>Key figure</w:t>
            </w:r>
          </w:p>
        </w:tc>
        <w:tc>
          <w:tcPr>
            <w:tcW w:type="dxa" w:w="3888"/>
            <w:shd w:val="clear" w:color="auto" w:fill="E8EDF4"/>
          </w:tcPr>
          <w:p>
            <w:pPr>
              <w:spacing w:after="40"/>
            </w:pPr>
            <w:r/>
            <w:r>
              <w:rPr>
                <w:b/>
                <w:i w:val="0"/>
                <w:sz w:val="19"/>
              </w:rPr>
              <w:t>Single source</w:t>
            </w:r>
          </w:p>
        </w:tc>
        <w:tc>
          <w:tcPr>
            <w:tcW w:type="dxa" w:w="2880"/>
            <w:shd w:val="clear" w:color="auto" w:fill="E8EDF4"/>
          </w:tcPr>
          <w:p>
            <w:pPr>
              <w:spacing w:after="40"/>
            </w:pPr>
            <w:r/>
            <w:r>
              <w:rPr>
                <w:b/>
                <w:i w:val="0"/>
                <w:sz w:val="19"/>
              </w:rPr>
              <w:t>Value in source</w:t>
            </w:r>
          </w:p>
        </w:tc>
      </w:tr>
      <w:tr>
        <w:tc>
          <w:tcPr>
            <w:tcW w:type="dxa" w:w="2880"/>
          </w:tcPr>
          <w:p>
            <w:pPr>
              <w:spacing w:after="40"/>
            </w:pPr>
            <w:r/>
            <w:r>
              <w:rPr>
                <w:b w:val="0"/>
                <w:i w:val="0"/>
                <w:sz w:val="19"/>
              </w:rPr>
              <w:t>Serious infections, period</w:t>
            </w:r>
          </w:p>
        </w:tc>
        <w:tc>
          <w:tcPr>
            <w:tcW w:type="dxa" w:w="3888"/>
          </w:tcPr>
          <w:p>
            <w:pPr>
              <w:spacing w:after="40"/>
            </w:pPr>
            <w:r/>
            <w:r>
              <w:rPr>
                <w:b w:val="0"/>
                <w:i w:val="0"/>
                <w:sz w:val="19"/>
              </w:rPr>
              <w:t>SAE extract, run 3 September 2026</w:t>
            </w:r>
          </w:p>
        </w:tc>
        <w:tc>
          <w:tcPr>
            <w:tcW w:type="dxa" w:w="2880"/>
          </w:tcPr>
          <w:p>
            <w:pPr>
              <w:spacing w:after="40"/>
            </w:pPr>
            <w:r/>
            <w:r>
              <w:rPr>
                <w:b w:val="0"/>
                <w:i w:val="0"/>
                <w:sz w:val="19"/>
              </w:rPr>
              <w:t>14</w:t>
            </w:r>
          </w:p>
        </w:tc>
      </w:tr>
      <w:tr>
        <w:tc>
          <w:tcPr>
            <w:tcW w:type="dxa" w:w="2880"/>
          </w:tcPr>
          <w:p>
            <w:pPr>
              <w:spacing w:after="40"/>
            </w:pPr>
            <w:r/>
            <w:r>
              <w:rPr>
                <w:b w:val="0"/>
                <w:i w:val="0"/>
                <w:sz w:val="19"/>
              </w:rPr>
              <w:t>Interval exposure, all arms</w:t>
            </w:r>
          </w:p>
        </w:tc>
        <w:tc>
          <w:tcPr>
            <w:tcW w:type="dxa" w:w="3888"/>
          </w:tcPr>
          <w:p>
            <w:pPr>
              <w:spacing w:after="40"/>
            </w:pPr>
            <w:r/>
            <w:r>
              <w:rPr>
                <w:b w:val="0"/>
                <w:i w:val="0"/>
                <w:sz w:val="19"/>
              </w:rPr>
              <w:t>Exposure dataset, run 3 September 2026</w:t>
            </w:r>
          </w:p>
        </w:tc>
        <w:tc>
          <w:tcPr>
            <w:tcW w:type="dxa" w:w="2880"/>
          </w:tcPr>
          <w:p>
            <w:pPr>
              <w:spacing w:after="40"/>
            </w:pPr>
            <w:r/>
            <w:r>
              <w:rPr>
                <w:b w:val="0"/>
                <w:i w:val="0"/>
                <w:sz w:val="19"/>
              </w:rPr>
              <w:t>About 400 subject-years</w:t>
            </w:r>
          </w:p>
        </w:tc>
      </w:tr>
      <w:tr>
        <w:tc>
          <w:tcPr>
            <w:tcW w:type="dxa" w:w="2880"/>
          </w:tcPr>
          <w:p>
            <w:pPr>
              <w:spacing w:after="40"/>
            </w:pPr>
            <w:r/>
            <w:r>
              <w:rPr>
                <w:b w:val="0"/>
                <w:i w:val="0"/>
                <w:sz w:val="19"/>
              </w:rPr>
              <w:t>Serious infection rate, period</w:t>
            </w:r>
          </w:p>
        </w:tc>
        <w:tc>
          <w:tcPr>
            <w:tcW w:type="dxa" w:w="3888"/>
          </w:tcPr>
          <w:p>
            <w:pPr>
              <w:spacing w:after="40"/>
            </w:pPr>
            <w:r/>
            <w:r>
              <w:rPr>
                <w:b w:val="0"/>
                <w:i w:val="0"/>
                <w:sz w:val="19"/>
              </w:rPr>
              <w:t>Derived: period events ÷ interval exposure</w:t>
            </w:r>
          </w:p>
        </w:tc>
        <w:tc>
          <w:tcPr>
            <w:tcW w:type="dxa" w:w="2880"/>
          </w:tcPr>
          <w:p>
            <w:pPr>
              <w:spacing w:after="40"/>
            </w:pPr>
            <w:r/>
            <w:r>
              <w:rPr>
                <w:b w:val="0"/>
                <w:i w:val="0"/>
                <w:sz w:val="19"/>
              </w:rPr>
              <w:t>3.5 per 100 subject-years</w:t>
            </w:r>
          </w:p>
        </w:tc>
      </w:tr>
      <w:tr>
        <w:tc>
          <w:tcPr>
            <w:tcW w:type="dxa" w:w="2880"/>
          </w:tcPr>
          <w:p>
            <w:pPr>
              <w:spacing w:after="40"/>
            </w:pPr>
            <w:r/>
            <w:r>
              <w:rPr>
                <w:b w:val="0"/>
                <w:i w:val="0"/>
                <w:sz w:val="19"/>
              </w:rPr>
              <w:t>Expected rate</w:t>
            </w:r>
          </w:p>
        </w:tc>
        <w:tc>
          <w:tcPr>
            <w:tcW w:type="dxa" w:w="3888"/>
          </w:tcPr>
          <w:p>
            <w:pPr>
              <w:spacing w:after="40"/>
            </w:pPr>
            <w:r/>
            <w:r>
              <w:rPr>
                <w:b w:val="0"/>
                <w:i w:val="0"/>
                <w:sz w:val="19"/>
              </w:rPr>
              <w:t>Derived: XB-201 rates applied to XB-301's 2:1 randomization</w:t>
            </w:r>
          </w:p>
        </w:tc>
        <w:tc>
          <w:tcPr>
            <w:tcW w:type="dxa" w:w="2880"/>
          </w:tcPr>
          <w:p>
            <w:pPr>
              <w:spacing w:after="40"/>
            </w:pPr>
            <w:r/>
            <w:r>
              <w:rPr>
                <w:b w:val="0"/>
                <w:i w:val="0"/>
                <w:sz w:val="19"/>
              </w:rPr>
              <w:t>2.7 per 100 subject-years</w:t>
            </w:r>
          </w:p>
        </w:tc>
      </w:tr>
      <w:tr>
        <w:tc>
          <w:tcPr>
            <w:tcW w:type="dxa" w:w="2880"/>
          </w:tcPr>
          <w:p>
            <w:pPr>
              <w:spacing w:after="40"/>
            </w:pPr>
            <w:r/>
            <w:r>
              <w:rPr>
                <w:b w:val="0"/>
                <w:i w:val="0"/>
                <w:sz w:val="19"/>
              </w:rPr>
              <w:t>XB-201 rates</w:t>
            </w:r>
          </w:p>
        </w:tc>
        <w:tc>
          <w:tcPr>
            <w:tcW w:type="dxa" w:w="3888"/>
          </w:tcPr>
          <w:p>
            <w:pPr>
              <w:spacing w:after="40"/>
            </w:pPr>
            <w:r/>
            <w:r>
              <w:rPr>
                <w:b w:val="0"/>
                <w:i w:val="0"/>
                <w:sz w:val="19"/>
              </w:rPr>
              <w:t>XB-201 clinical study report (final February 2026)</w:t>
            </w:r>
          </w:p>
        </w:tc>
        <w:tc>
          <w:tcPr>
            <w:tcW w:type="dxa" w:w="2880"/>
          </w:tcPr>
          <w:p>
            <w:pPr>
              <w:spacing w:after="40"/>
            </w:pPr>
            <w:r/>
            <w:r>
              <w:rPr>
                <w:b w:val="0"/>
                <w:i w:val="0"/>
                <w:sz w:val="19"/>
              </w:rPr>
              <w:t>3.1 with XB-7; 1.9 with placebo (per 100 subject-years)</w:t>
            </w:r>
          </w:p>
        </w:tc>
      </w:tr>
      <w:tr>
        <w:tc>
          <w:tcPr>
            <w:tcW w:type="dxa" w:w="2880"/>
          </w:tcPr>
          <w:p>
            <w:pPr>
              <w:spacing w:after="40"/>
            </w:pPr>
            <w:r/>
            <w:r>
              <w:rPr>
                <w:b w:val="0"/>
                <w:i w:val="0"/>
                <w:sz w:val="19"/>
              </w:rPr>
              <w:t>Serious infections, cumulative</w:t>
            </w:r>
          </w:p>
        </w:tc>
        <w:tc>
          <w:tcPr>
            <w:tcW w:type="dxa" w:w="3888"/>
          </w:tcPr>
          <w:p>
            <w:pPr>
              <w:spacing w:after="40"/>
            </w:pPr>
            <w:r/>
            <w:r>
              <w:rPr>
                <w:b w:val="0"/>
                <w:i w:val="0"/>
                <w:sz w:val="19"/>
              </w:rPr>
              <w:t>Cumulative SAE tabulation</w:t>
            </w:r>
          </w:p>
        </w:tc>
        <w:tc>
          <w:tcPr>
            <w:tcW w:type="dxa" w:w="2880"/>
          </w:tcPr>
          <w:p>
            <w:pPr>
              <w:spacing w:after="40"/>
            </w:pPr>
            <w:r/>
            <w:r>
              <w:rPr>
                <w:b w:val="0"/>
                <w:i w:val="0"/>
                <w:sz w:val="19"/>
              </w:rPr>
              <w:t>31</w:t>
            </w:r>
          </w:p>
        </w:tc>
      </w:tr>
      <w:tr>
        <w:tc>
          <w:tcPr>
            <w:tcW w:type="dxa" w:w="2880"/>
          </w:tcPr>
          <w:p>
            <w:pPr>
              <w:spacing w:after="40"/>
            </w:pPr>
            <w:r/>
            <w:r>
              <w:rPr>
                <w:b w:val="0"/>
                <w:i w:val="0"/>
                <w:sz w:val="19"/>
              </w:rPr>
              <w:t>IB change adding sepsis</w:t>
            </w:r>
          </w:p>
        </w:tc>
        <w:tc>
          <w:tcPr>
            <w:tcW w:type="dxa" w:w="3888"/>
          </w:tcPr>
          <w:p>
            <w:pPr>
              <w:spacing w:after="40"/>
            </w:pPr>
            <w:r/>
            <w:r>
              <w:rPr>
                <w:b w:val="0"/>
                <w:i w:val="0"/>
                <w:sz w:val="19"/>
              </w:rPr>
              <w:t>IB version log</w:t>
            </w:r>
          </w:p>
        </w:tc>
        <w:tc>
          <w:tcPr>
            <w:tcW w:type="dxa" w:w="2880"/>
          </w:tcPr>
          <w:p>
            <w:pPr>
              <w:spacing w:after="40"/>
            </w:pPr>
            <w:r/>
            <w:r>
              <w:rPr>
                <w:b w:val="0"/>
                <w:i w:val="0"/>
                <w:sz w:val="19"/>
              </w:rPr>
              <w:t>Edition 6, approved March 2026</w:t>
            </w:r>
          </w:p>
        </w:tc>
      </w:tr>
      <w:tr>
        <w:tc>
          <w:tcPr>
            <w:tcW w:type="dxa" w:w="2880"/>
          </w:tcPr>
          <w:p>
            <w:pPr>
              <w:spacing w:after="40"/>
            </w:pPr>
            <w:r/>
            <w:r>
              <w:rPr>
                <w:b w:val="0"/>
                <w:i w:val="0"/>
                <w:sz w:val="19"/>
              </w:rPr>
              <w:t>Name of the risk</w:t>
            </w:r>
          </w:p>
        </w:tc>
        <w:tc>
          <w:tcPr>
            <w:tcW w:type="dxa" w:w="3888"/>
          </w:tcPr>
          <w:p>
            <w:pPr>
              <w:spacing w:after="40"/>
            </w:pPr>
            <w:r/>
            <w:r>
              <w:rPr>
                <w:b w:val="0"/>
                <w:i w:val="0"/>
                <w:sz w:val="19"/>
              </w:rPr>
              <w:t>Controlled terminology sheet</w:t>
            </w:r>
          </w:p>
        </w:tc>
        <w:tc>
          <w:tcPr>
            <w:tcW w:type="dxa" w:w="2880"/>
          </w:tcPr>
          <w:p>
            <w:pPr>
              <w:spacing w:after="40"/>
            </w:pPr>
            <w:r/>
            <w:r>
              <w:rPr>
                <w:b w:val="0"/>
                <w:i w:val="0"/>
                <w:sz w:val="19"/>
              </w:rPr>
              <w:t>serious infections (important identified risk)</w:t>
            </w:r>
          </w:p>
        </w:tc>
      </w:tr>
    </w:tbl>
    <w:p>
      <w:pPr>
        <w:spacing w:after="40"/>
      </w:pPr>
    </w:p>
    <w:p>
      <w:pPr>
        <w:spacing w:before="200"/>
      </w:pPr>
      <w:r>
        <w:rPr>
          <w:b w:val="0"/>
          <w:i/>
          <w:sz w:val="17"/>
        </w:rPr>
        <w:t>Companion material to Writing the DSUR (Selim Medical Press). Fictional data. Not regulatory advice. CC BY-NC 4.0.</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