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Exercise 1 · Seeded DSUR excerpt for executive review</w:t>
      </w:r>
    </w:p>
    <w:p>
      <w:r>
        <w:rPr>
          <w:b w:val="0"/>
          <w:i/>
          <w:sz w:val="18"/>
        </w:rPr>
        <w:t>XB-7 (Case B) · DSUR 5 · Draft 2 excerpt, after traceability QC · Fictional data</w:t>
      </w:r>
    </w:p>
    <w:tbl>
      <w:tblPr>
        <w:tblStyle w:val="TableGrid"/>
        <w:tblW w:type="auto" w:w="0"/>
        <w:tblLook w:firstColumn="1" w:firstRow="1" w:lastColumn="0" w:lastRow="0" w:noHBand="0" w:noVBand="1" w:val="04A0"/>
      </w:tblPr>
      <w:tblGrid>
        <w:gridCol w:w="9648"/>
      </w:tblGrid>
      <w:tr>
        <w:tc>
          <w:tcPr>
            <w:tcW w:type="dxa" w:w="9648"/>
            <w:shd w:val="clear" w:color="auto" w:fill="F3F5F8"/>
          </w:tcPr>
          <w:p>
            <w:r/>
            <w:r>
              <w:rPr>
                <w:b/>
                <w:i w:val="0"/>
              </w:rPr>
              <w:t>Task.</w:t>
            </w:r>
            <w:r>
              <w:rPr>
                <w:b w:val="0"/>
                <w:i w:val="0"/>
              </w:rPr>
              <w:t xml:space="preserve"> Review this excerpt in 30 minutes, using the reading path and the review card (ch17-review-card.docx). List your comments, each labeled must-fix or preference; a comment may also be a question. This is the Chapter 15 seeded excerpt after traceability QC: the numbers have been checked against source, so review the judgment, not the data (17.2). Sections not reproduced here exist in the full report. Answers are in Appendix E.</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FFFFF"/>
          </w:tcPr>
          <w:p>
            <w:r/>
            <w:r>
              <w:rPr>
                <w:b/>
                <w:i w:val="0"/>
              </w:rPr>
              <w:t>Development Safety Update Report 5 · XB-7</w:t>
            </w:r>
          </w:p>
          <w:p>
            <w:r>
              <w:rPr>
                <w:b w:val="0"/>
                <w:i w:val="0"/>
              </w:rPr>
              <w:t>Reporting period: 2 September 2025 to 1 September 2026 · Data lock point: 1 September 2026 · Development international birth date: 2 September 2021 · Draft 2</w:t>
            </w:r>
          </w:p>
        </w:tc>
      </w:tr>
    </w:tbl>
    <w:p>
      <w:pPr>
        <w:spacing w:after="40"/>
      </w:pPr>
    </w:p>
    <w:p>
      <w:pPr>
        <w:pStyle w:val="Heading2"/>
      </w:pPr>
      <w:r>
        <w:t>Executive Summary</w:t>
      </w:r>
    </w:p>
    <w:p>
      <w:r>
        <w:rPr>
          <w:b w:val="0"/>
          <w:i w:val="0"/>
        </w:rPr>
        <w:t>This is the fifth Development Safety Update Report (DSUR) for XB-7, a monoclonal antibody in development for adults with moderate-to-severe autoimmune disease, covering 2 September 2025 to 1 September 2026. XB-7 is given by subcutaneous injection, 150 mg every four weeks.</w:t>
      </w:r>
    </w:p>
    <w:p>
      <w:r>
        <w:rPr>
          <w:b/>
          <w:i w:val="0"/>
        </w:rPr>
        <w:t>Exposure.</w:t>
      </w:r>
      <w:r>
        <w:rPr>
          <w:b w:val="0"/>
          <w:i w:val="0"/>
        </w:rPr>
        <w:t xml:space="preserve"> Since the development international birth date (DIBD), approximately 380 subjects have received XB-7 and 190 placebo in the sponsor's trials. Exposure in the ongoing blinded Phase 3 trial XB-301 is estimated from its 2:1 randomization ratio; no data were unblinded for this report.</w:t>
      </w:r>
    </w:p>
    <w:p>
      <w:r>
        <w:rPr>
          <w:b/>
          <w:i w:val="0"/>
        </w:rPr>
        <w:t>Marketing status.</w:t>
      </w:r>
      <w:r>
        <w:rPr>
          <w:b w:val="0"/>
          <w:i w:val="0"/>
        </w:rPr>
        <w:t xml:space="preserve"> XB-7 is not approved in any country.</w:t>
      </w:r>
    </w:p>
    <w:p>
      <w:r>
        <w:rPr>
          <w:b/>
          <w:i w:val="0"/>
        </w:rPr>
        <w:t>Overall safety assessment.</w:t>
      </w:r>
      <w:r>
        <w:rPr>
          <w:b w:val="0"/>
          <w:i w:val="0"/>
        </w:rPr>
        <w:t xml:space="preserve"> The completed Phase 2 trial XB-201 met its primary endpoint; serious infections occurred at 3.1 per 100 subject-years with XB-7 and 1.9 with placebo. During the period, 14 serious infections were reported across the program, about 3.5 per 100 subject-years across all arms, modestly above the 2.7 expected from XB-201's rates. Two cases of sepsis, both in subjects receiving XB-7, led to an update of the Investigator's Brochure (IB). Infections were concentrated in older subjects and those on corticosteroids. After the data lock point, the Data Monitoring Committee (DMC) reviewed unblinded data and recommended that XB-301 continue. No other new safety concern was identified.</w:t>
      </w:r>
    </w:p>
    <w:p>
      <w:pPr>
        <w:spacing w:after="40"/>
      </w:pPr>
      <w:r>
        <w:rPr>
          <w:b/>
          <w:i w:val="0"/>
        </w:rPr>
        <w:t>Important risks.</w:t>
      </w:r>
    </w:p>
    <w:p>
      <w:pPr>
        <w:pStyle w:val="ListBullet"/>
      </w:pPr>
      <w:r>
        <w:t>Serious infections (important identified risk), including sepsis; updated this period.</w:t>
      </w:r>
    </w:p>
    <w:p>
      <w:pPr>
        <w:pStyle w:val="ListBullet"/>
      </w:pPr>
      <w:r>
        <w:t>Injection-site reactions (important identified risk); unchanged.</w:t>
      </w:r>
    </w:p>
    <w:p>
      <w:r>
        <w:rPr>
          <w:b/>
          <w:i w:val="0"/>
        </w:rPr>
        <w:t>Actions taken for safety reasons.</w:t>
      </w:r>
      <w:r>
        <w:rPr>
          <w:b w:val="0"/>
          <w:i w:val="0"/>
        </w:rPr>
        <w:t xml:space="preserve"> IB Edition 6 (March 2026) added sepsis as an expected serious adverse reaction. Consent forms for XB-301 and XB-302 were revised to describe sepsis, and subjects were reconsented.</w:t>
      </w:r>
    </w:p>
    <w:p>
      <w:r>
        <w:rPr>
          <w:b/>
          <w:i w:val="0"/>
        </w:rPr>
        <w:t>Conclusion.</w:t>
      </w:r>
      <w:r>
        <w:rPr>
          <w:b w:val="0"/>
          <w:i w:val="0"/>
        </w:rPr>
        <w:t xml:space="preserve"> The anticipated benefit of XB-7, supported by XB-201, and its important risks, managed through eligibility criteria, infection monitoring and DMC review, give a benefit–risk balance for trial subjects that is unchanged since the previous DSUR. Development continues.</w:t>
      </w:r>
    </w:p>
    <w:p>
      <w:pPr>
        <w:pStyle w:val="Heading2"/>
      </w:pPr>
      <w:r>
        <w:t>3. Actions Taken in the Reporting Period for Safety Reasons</w:t>
      </w:r>
    </w:p>
    <w:p>
      <w:r>
        <w:rPr>
          <w:b w:val="0"/>
          <w:i w:val="0"/>
        </w:rPr>
        <w:t>In March 2026, the informed consent forms for XB-301 and XB-302 were revised to describe sepsis as a possible serious infection in subjects receiving XB-7, following the update of the Investigator's Brochure (IB) described in Section 4. Ethics committee approval was obtained at all sites by May 2026; enrolled subjects were reconsented at their next visit. No other action was taken for safety reasons during the period.</w:t>
      </w:r>
    </w:p>
    <w:p>
      <w:pPr>
        <w:pStyle w:val="Heading2"/>
      </w:pPr>
      <w:r>
        <w:t>4. Changes to Reference Safety Information</w:t>
      </w:r>
    </w:p>
    <w:p>
      <w:r>
        <w:rPr>
          <w:b w:val="0"/>
          <w:i w:val="0"/>
        </w:rPr>
        <w:t>IB Edition 6 (approved March 2026) revised Section 6.4, Serious Infections, to include sepsis as an expected serious adverse reaction, based on three cases in the XB-7 program (two during this reporting period). The data supporting this change are described in Section 8.2 and evaluated in Section 18.1. Edition 6 has been submitted to the concerned authorities and is not attached.</w:t>
      </w:r>
    </w:p>
    <w:p>
      <w:pPr>
        <w:pStyle w:val="Heading2"/>
      </w:pPr>
      <w:r>
        <w:t>6. Estimated Cumulative Exposure (extract)</w:t>
      </w:r>
    </w:p>
    <w:p>
      <w:r>
        <w:rPr>
          <w:b w:val="0"/>
          <w:i w:val="0"/>
        </w:rPr>
        <w:t>Since the development international birth date (DIBD), approximately 380 subjects have received XB-7 and 190 placebo in the sponsor's trials, with exposure in the ongoing blinded trial XB-301 estimated from its 2:1 randomization ratio. Extension subjects in XB-302 are counted in their parent trials. Interval exposure across all arms was approximately 400 subject-years.</w:t>
      </w:r>
    </w:p>
    <w:p>
      <w:pPr>
        <w:pStyle w:val="Heading2"/>
      </w:pPr>
      <w:r>
        <w:t>7.1 Reference Information</w:t>
      </w:r>
    </w:p>
    <w:p>
      <w:r>
        <w:rPr>
          <w:b w:val="0"/>
          <w:i w:val="0"/>
        </w:rPr>
        <w:t>Expectedness was assessed against the reference safety information (RSI) in Section 6.4 of the Investigator's Brochure, Edition 5, dated 15 May 2025, in effect at the start of the reporting period. Edition 6, approved in March 2026, added sepsis (Section 4). Both cases of sepsis in the period were received before Edition 6 was approved and were expedited as suspected unexpected serious adverse reactions (SUSARs); they are presented as unexpected in this report, consistent with Edition 5. Events were coded using MedDRA version 29.0.</w:t>
      </w:r>
    </w:p>
    <w:p>
      <w:pPr>
        <w:pStyle w:val="Heading2"/>
      </w:pPr>
      <w:r>
        <w:t>7.2 Line Listings</w:t>
      </w:r>
    </w:p>
    <w:p>
      <w:r>
        <w:rPr>
          <w:b w:val="0"/>
          <w:i w:val="0"/>
        </w:rPr>
        <w:t>The line listing in Appendix 5 includes all serious adverse events received by the sponsor from sponsor clinical trials between 2 September 2025 and 1 September 2026 for which the investigator or the sponsor considered a causal relationship with the investigational product at least a reasonable possibility, including blinded cases. Cases in XB-301 are listed as "blinded" unless the blind was broken for the individual case. Listings are ordered by trial and then by System Organ Class.</w:t>
      </w:r>
    </w:p>
    <w:p>
      <w:pPr>
        <w:pStyle w:val="Heading2"/>
      </w:pPr>
      <w:r>
        <w:t>17. Late-Breaking Information</w:t>
      </w:r>
    </w:p>
    <w:p>
      <w:r>
        <w:rPr>
          <w:b w:val="0"/>
          <w:i w:val="0"/>
        </w:rPr>
        <w:t>On 22 September 2026, after the data lock point, the Data Monitoring Committee (DMC) for XB-301 completed its scheduled review of unblinded safety data and recommended additional assessment for signs and symptoms of serious infection at each visit for subjects aged 75 years or older and for subjects receiving systemic corticosteroids. The sponsor accepted the recommendation, and a protocol amendment is in preparation. The DMC recommended that the trial continue without other changes. The implications are discussed in Section 18.1 (serious infections).</w:t>
      </w:r>
    </w:p>
    <w:p>
      <w:pPr>
        <w:pStyle w:val="Heading2"/>
      </w:pPr>
      <w:r>
        <w:t>18.1 Overall Safety Assessment (extract: serious infections)</w:t>
      </w:r>
    </w:p>
    <w:p>
      <w:r>
        <w:rPr>
          <w:b/>
          <w:i w:val="0"/>
        </w:rPr>
        <w:t>Serious infections.</w:t>
      </w:r>
      <w:r>
        <w:rPr>
          <w:b w:val="0"/>
          <w:i w:val="0"/>
        </w:rPr>
        <w:t xml:space="preserve"> Serious infections remain the principal identified risk of XB-7. The 14 events in the period (9 in blinded XB-301 and 5 in open-label XB-302, among approximately 400 subject-years of exposure across all arms) give a rate of about 3.5 per 100 subject-years, modestly above the 2.7 expected from XB-201's rates (3.1 with XB-7, 1.9 with placebo) and XB-301's 2:1 randomization. Cumulatively, 31 serious infections have been reported in the program since the DIBD (Section 7.3).</w:t>
      </w:r>
    </w:p>
    <w:p>
      <w:r>
        <w:rPr>
          <w:b w:val="0"/>
          <w:i w:val="0"/>
        </w:rPr>
        <w:t>The difference is small, based on few events, and partly explained by the older, longer-treated population of XB-302; the types of infection are unchanged and none was opportunistic. Two cases of sepsis, both on XB-7, led to the IB update described in Section 4. Two events occurred in subjects over 75 receiving corticosteroids, a group already recognized as at higher risk; after the data lock point, the DMC reviewed unblinded data and recommended additional infection assessment at each visit for subjects aged 75 or older or receiving systemic corticosteroids (Section 17), which the sponsor has accepted. A protocol amendment implementing the recommendation is in preparation. The risk to current subjects is therefore unchanged in nature and is being managed more closely in the subgroups at greatest risk. The Summary of Important Risks has been updated accordingly (Section 19).</w:t>
      </w:r>
    </w:p>
    <w:p>
      <w:pPr>
        <w:pStyle w:val="Heading2"/>
      </w:pPr>
      <w:r>
        <w:t>18.2 Benefit–Risk Considerations</w:t>
      </w:r>
    </w:p>
    <w:p>
      <w:r>
        <w:rPr>
          <w:b w:val="0"/>
          <w:i w:val="0"/>
        </w:rPr>
        <w:t>The completed placebo-controlled trial XB-201 established the efficacy of XB-7: disease activity at week 24 was reduced compared with placebo. The important risks remain serious infections and injection-site reactions; no new important risk emerged this period. These risks are managed through eligibility criteria, infection monitoring, DMC review and, following the DMC's recommendation, closer monitoring of subjects aged 75 or older and those receiving systemic corticosteroids. The balance for trial subjects is unchanged since the previous DSUR and supports continued development.</w:t>
      </w:r>
    </w:p>
    <w:p>
      <w:pPr>
        <w:pStyle w:val="Heading2"/>
      </w:pPr>
      <w:r>
        <w:t>19. Summary of Important Risks</w:t>
      </w:r>
    </w:p>
    <w:tbl>
      <w:tblPr>
        <w:tblStyle w:val="TableGrid"/>
        <w:tblW w:type="auto" w:w="0"/>
        <w:jc w:val="center"/>
        <w:tblLayout w:type="fixed"/>
        <w:tblLook w:firstColumn="1" w:firstRow="1" w:lastColumn="0" w:lastRow="0" w:noHBand="0" w:noVBand="1" w:val="04A0"/>
      </w:tblPr>
      <w:tblGrid>
        <w:gridCol w:w="1944"/>
        <w:gridCol w:w="1944"/>
        <w:gridCol w:w="3240"/>
        <w:gridCol w:w="2520"/>
      </w:tblGrid>
      <w:tr>
        <w:trPr>
          <w:tblHeader w:val="true"/>
        </w:trPr>
        <w:tc>
          <w:tcPr>
            <w:tcW w:type="dxa" w:w="1944"/>
            <w:shd w:val="clear" w:color="auto" w:fill="E8EDF4"/>
          </w:tcPr>
          <w:p>
            <w:pPr>
              <w:spacing w:after="40"/>
            </w:pPr>
            <w:r/>
            <w:r>
              <w:rPr>
                <w:b/>
                <w:i w:val="0"/>
                <w:sz w:val="18"/>
              </w:rPr>
              <w:t>Risk (status)</w:t>
            </w:r>
          </w:p>
        </w:tc>
        <w:tc>
          <w:tcPr>
            <w:tcW w:type="dxa" w:w="1944"/>
            <w:shd w:val="clear" w:color="auto" w:fill="E8EDF4"/>
          </w:tcPr>
          <w:p>
            <w:pPr>
              <w:spacing w:after="40"/>
            </w:pPr>
            <w:r/>
            <w:r>
              <w:rPr>
                <w:b/>
                <w:i w:val="0"/>
                <w:sz w:val="18"/>
              </w:rPr>
              <w:t>Nonclinical data</w:t>
            </w:r>
          </w:p>
        </w:tc>
        <w:tc>
          <w:tcPr>
            <w:tcW w:type="dxa" w:w="3240"/>
            <w:shd w:val="clear" w:color="auto" w:fill="E8EDF4"/>
          </w:tcPr>
          <w:p>
            <w:pPr>
              <w:spacing w:after="40"/>
            </w:pPr>
            <w:r/>
            <w:r>
              <w:rPr>
                <w:b/>
                <w:i w:val="0"/>
                <w:sz w:val="18"/>
              </w:rPr>
              <w:t>Clinical data (cumulative; new this period marked *)</w:t>
            </w:r>
          </w:p>
        </w:tc>
        <w:tc>
          <w:tcPr>
            <w:tcW w:type="dxa" w:w="2520"/>
            <w:shd w:val="clear" w:color="auto" w:fill="E8EDF4"/>
          </w:tcPr>
          <w:p>
            <w:pPr>
              <w:spacing w:after="40"/>
            </w:pPr>
            <w:r/>
            <w:r>
              <w:rPr>
                <w:b/>
                <w:i w:val="0"/>
                <w:sz w:val="18"/>
              </w:rPr>
              <w:t>Measures in the trials</w:t>
            </w:r>
          </w:p>
        </w:tc>
      </w:tr>
      <w:tr>
        <w:tc>
          <w:tcPr>
            <w:tcW w:type="dxa" w:w="1944"/>
          </w:tcPr>
          <w:p>
            <w:pPr>
              <w:spacing w:after="40"/>
            </w:pPr>
            <w:r/>
            <w:r>
              <w:rPr>
                <w:b w:val="0"/>
                <w:i w:val="0"/>
                <w:sz w:val="18"/>
              </w:rPr>
              <w:t>Serious infections (important identified)*</w:t>
            </w:r>
          </w:p>
        </w:tc>
        <w:tc>
          <w:tcPr>
            <w:tcW w:type="dxa" w:w="1944"/>
          </w:tcPr>
          <w:p>
            <w:pPr>
              <w:spacing w:after="40"/>
            </w:pPr>
            <w:r/>
            <w:r>
              <w:rPr>
                <w:b w:val="0"/>
                <w:i w:val="0"/>
                <w:sz w:val="18"/>
              </w:rPr>
              <w:t>Reduced bacterial clearance in a murine model at exposures above the clinical dose</w:t>
            </w:r>
          </w:p>
        </w:tc>
        <w:tc>
          <w:tcPr>
            <w:tcW w:type="dxa" w:w="3240"/>
          </w:tcPr>
          <w:p>
            <w:pPr>
              <w:spacing w:after="40"/>
            </w:pPr>
            <w:r/>
            <w:r>
              <w:rPr>
                <w:b w:val="0"/>
                <w:i w:val="0"/>
                <w:sz w:val="18"/>
              </w:rPr>
              <w:t>XB-201: 3.1 vs 1.9 per 100 subject-years (XB-7 vs placebo). Period: 14 events among about 400 subject-years across all arms (about 3.5 per 100 subject-years), including two sepsis cases on XB-7.* Cumulatively, 31 serious infections. Risk higher over 75 years and with corticosteroids</w:t>
            </w:r>
          </w:p>
        </w:tc>
        <w:tc>
          <w:tcPr>
            <w:tcW w:type="dxa" w:w="2520"/>
          </w:tcPr>
          <w:p>
            <w:pPr>
              <w:spacing w:after="40"/>
            </w:pPr>
            <w:r/>
            <w:r>
              <w:rPr>
                <w:b w:val="0"/>
                <w:i w:val="0"/>
                <w:sz w:val="18"/>
              </w:rPr>
              <w:t>Exclusion of active or chronic infections; screening for tuberculosis; infection assessment at each visit for subjects aged 75 or older or receiving systemic corticosteroids (amendment in preparation)*; IB and consent updated to include sepsis*</w:t>
            </w:r>
          </w:p>
        </w:tc>
      </w:tr>
      <w:tr>
        <w:tc>
          <w:tcPr>
            <w:tcW w:type="dxa" w:w="1944"/>
          </w:tcPr>
          <w:p>
            <w:pPr>
              <w:spacing w:after="40"/>
            </w:pPr>
            <w:r/>
            <w:r>
              <w:rPr>
                <w:b w:val="0"/>
                <w:i w:val="0"/>
                <w:sz w:val="18"/>
              </w:rPr>
              <w:t>Injection-site reactions (important identified)</w:t>
            </w:r>
          </w:p>
        </w:tc>
        <w:tc>
          <w:tcPr>
            <w:tcW w:type="dxa" w:w="1944"/>
          </w:tcPr>
          <w:p>
            <w:pPr>
              <w:spacing w:after="40"/>
            </w:pPr>
            <w:r/>
            <w:r>
              <w:rPr>
                <w:b w:val="0"/>
                <w:i w:val="0"/>
                <w:sz w:val="18"/>
              </w:rPr>
              <w:t>Mild local reactions in local tolerance studies</w:t>
            </w:r>
          </w:p>
        </w:tc>
        <w:tc>
          <w:tcPr>
            <w:tcW w:type="dxa" w:w="3240"/>
          </w:tcPr>
          <w:p>
            <w:pPr>
              <w:spacing w:after="40"/>
            </w:pPr>
            <w:r/>
            <w:r>
              <w:rPr>
                <w:b w:val="0"/>
                <w:i w:val="0"/>
                <w:sz w:val="18"/>
              </w:rPr>
              <w:t>XB-201: 14% with XB-7 vs 4% with placebo; none serious. No new information this period</w:t>
            </w:r>
          </w:p>
        </w:tc>
        <w:tc>
          <w:tcPr>
            <w:tcW w:type="dxa" w:w="2520"/>
          </w:tcPr>
          <w:p>
            <w:pPr>
              <w:spacing w:after="40"/>
            </w:pPr>
            <w:r/>
            <w:r>
              <w:rPr>
                <w:b w:val="0"/>
                <w:i w:val="0"/>
                <w:sz w:val="18"/>
              </w:rPr>
              <w:t>Rotation of injection sites; assessment of the injection site at each visit</w:t>
            </w:r>
          </w:p>
        </w:tc>
      </w:tr>
    </w:tbl>
    <w:p>
      <w:pPr>
        <w:spacing w:after="40"/>
      </w:pPr>
    </w:p>
    <w:p>
      <w:pPr>
        <w:pStyle w:val="Heading2"/>
      </w:pPr>
      <w:r>
        <w:t>20. Conclusions</w:t>
      </w:r>
    </w:p>
    <w:p>
      <w:r>
        <w:rPr>
          <w:b w:val="0"/>
          <w:i w:val="0"/>
        </w:rPr>
        <w:t>Serious infections remain the principal identified risk of XB-7. During the period, the IB was updated to add sepsis as an expected serious adverse reaction (Section 4), and consent forms were revised (Section 3). The rate of serious infections in the period was modestly above the rate expected from XB-201, and infections were concentrated in subjects aged 75 or older and those receiving corticosteroids (Section 18.1). Injection-site reactions are unchanged. The benefit–risk balance for trial subjects is unchanged since the previous DSUR. No changes to the development program are required.</w:t>
      </w:r>
    </w:p>
    <w:p>
      <w:pPr>
        <w:sectPr>
          <w:footerReference w:type="default" r:id="rId9"/>
          <w:pgSz w:w="12240" w:h="15840"/>
          <w:pgMar w:top="1296" w:right="1296" w:bottom="1296" w:left="1296" w:header="720" w:footer="720" w:gutter="0"/>
          <w:cols w:space="720"/>
          <w:docGrid w:linePitch="360"/>
        </w:sectPr>
      </w:pPr>
    </w:p>
    <w:p>
      <w:pPr>
        <w:pStyle w:val="Heading2"/>
      </w:pPr>
      <w:r>
        <w:t>Appendix 5 (extract). Interval line listing of serious adverse reactions</w:t>
      </w:r>
    </w:p>
    <w:p>
      <w:r>
        <w:rPr>
          <w:b w:val="0"/>
          <w:i/>
          <w:sz w:val="18"/>
        </w:rPr>
        <w:t>Extract: selected rows from XB-301 and XB-302; the full listing is not reproduced. Ordered by trial, then by System Organ Class. MedDRA version 29.0. SC = subcutaneous.</w:t>
      </w:r>
    </w:p>
    <w:tbl>
      <w:tblPr>
        <w:tblStyle w:val="TableGrid"/>
        <w:tblW w:type="auto" w:w="0"/>
        <w:jc w:val="center"/>
        <w:tblLayout w:type="fixed"/>
        <w:tblLook w:firstColumn="1" w:firstRow="1" w:lastColumn="0" w:lastRow="0" w:noHBand="0" w:noVBand="1" w:val="04A0"/>
      </w:tblPr>
      <w:tblGrid>
        <w:gridCol w:w="748"/>
        <w:gridCol w:w="835"/>
        <w:gridCol w:w="1180"/>
        <w:gridCol w:w="892"/>
        <w:gridCol w:w="691"/>
        <w:gridCol w:w="950"/>
        <w:gridCol w:w="1152"/>
        <w:gridCol w:w="720"/>
        <w:gridCol w:w="1224"/>
        <w:gridCol w:w="1224"/>
        <w:gridCol w:w="1080"/>
        <w:gridCol w:w="936"/>
        <w:gridCol w:w="1036"/>
        <w:gridCol w:w="1440"/>
      </w:tblGrid>
      <w:tr>
        <w:trPr>
          <w:tblHeader w:val="true"/>
        </w:trPr>
        <w:tc>
          <w:tcPr>
            <w:tcW w:type="dxa" w:w="749"/>
            <w:shd w:val="clear" w:color="auto" w:fill="E8EDF4"/>
          </w:tcPr>
          <w:p>
            <w:pPr>
              <w:spacing w:after="40"/>
            </w:pPr>
            <w:r/>
            <w:r>
              <w:rPr>
                <w:b/>
                <w:i w:val="0"/>
                <w:sz w:val="15"/>
              </w:rPr>
              <w:t>Study</w:t>
            </w:r>
          </w:p>
        </w:tc>
        <w:tc>
          <w:tcPr>
            <w:tcW w:type="dxa" w:w="835"/>
            <w:shd w:val="clear" w:color="auto" w:fill="E8EDF4"/>
          </w:tcPr>
          <w:p>
            <w:pPr>
              <w:spacing w:after="40"/>
            </w:pPr>
            <w:r/>
            <w:r>
              <w:rPr>
                <w:b/>
                <w:i w:val="0"/>
                <w:sz w:val="15"/>
              </w:rPr>
              <w:t>Subject</w:t>
            </w:r>
          </w:p>
        </w:tc>
        <w:tc>
          <w:tcPr>
            <w:tcW w:type="dxa" w:w="1181"/>
            <w:shd w:val="clear" w:color="auto" w:fill="E8EDF4"/>
          </w:tcPr>
          <w:p>
            <w:pPr>
              <w:spacing w:after="40"/>
            </w:pPr>
            <w:r/>
            <w:r>
              <w:rPr>
                <w:b/>
                <w:i w:val="0"/>
                <w:sz w:val="15"/>
              </w:rPr>
              <w:t>Case reference</w:t>
            </w:r>
          </w:p>
        </w:tc>
        <w:tc>
          <w:tcPr>
            <w:tcW w:type="dxa" w:w="893"/>
            <w:shd w:val="clear" w:color="auto" w:fill="E8EDF4"/>
          </w:tcPr>
          <w:p>
            <w:pPr>
              <w:spacing w:after="40"/>
            </w:pPr>
            <w:r/>
            <w:r>
              <w:rPr>
                <w:b/>
                <w:i w:val="0"/>
                <w:sz w:val="15"/>
              </w:rPr>
              <w:t>Country</w:t>
            </w:r>
          </w:p>
        </w:tc>
        <w:tc>
          <w:tcPr>
            <w:tcW w:type="dxa" w:w="691"/>
            <w:shd w:val="clear" w:color="auto" w:fill="E8EDF4"/>
          </w:tcPr>
          <w:p>
            <w:pPr>
              <w:spacing w:after="40"/>
            </w:pPr>
            <w:r/>
            <w:r>
              <w:rPr>
                <w:b/>
                <w:i w:val="0"/>
                <w:sz w:val="15"/>
              </w:rPr>
              <w:t>Age, sex</w:t>
            </w:r>
          </w:p>
        </w:tc>
        <w:tc>
          <w:tcPr>
            <w:tcW w:type="dxa" w:w="950"/>
            <w:shd w:val="clear" w:color="auto" w:fill="E8EDF4"/>
          </w:tcPr>
          <w:p>
            <w:pPr>
              <w:spacing w:after="40"/>
            </w:pPr>
            <w:r/>
            <w:r>
              <w:rPr>
                <w:b/>
                <w:i w:val="0"/>
                <w:sz w:val="15"/>
              </w:rPr>
              <w:t>Treatment</w:t>
            </w:r>
          </w:p>
        </w:tc>
        <w:tc>
          <w:tcPr>
            <w:tcW w:type="dxa" w:w="1152"/>
            <w:shd w:val="clear" w:color="auto" w:fill="E8EDF4"/>
          </w:tcPr>
          <w:p>
            <w:pPr>
              <w:spacing w:after="40"/>
            </w:pPr>
            <w:r/>
            <w:r>
              <w:rPr>
                <w:b/>
                <w:i w:val="0"/>
                <w:sz w:val="15"/>
              </w:rPr>
              <w:t>Dose and regimen</w:t>
            </w:r>
          </w:p>
        </w:tc>
        <w:tc>
          <w:tcPr>
            <w:tcW w:type="dxa" w:w="720"/>
            <w:shd w:val="clear" w:color="auto" w:fill="E8EDF4"/>
          </w:tcPr>
          <w:p>
            <w:pPr>
              <w:spacing w:after="40"/>
            </w:pPr>
            <w:r/>
            <w:r>
              <w:rPr>
                <w:b/>
                <w:i w:val="0"/>
                <w:sz w:val="15"/>
              </w:rPr>
              <w:t>Onset</w:t>
            </w:r>
          </w:p>
        </w:tc>
        <w:tc>
          <w:tcPr>
            <w:tcW w:type="dxa" w:w="1224"/>
            <w:shd w:val="clear" w:color="auto" w:fill="E8EDF4"/>
          </w:tcPr>
          <w:p>
            <w:pPr>
              <w:spacing w:after="40"/>
            </w:pPr>
            <w:r/>
            <w:r>
              <w:rPr>
                <w:b/>
                <w:i w:val="0"/>
                <w:sz w:val="15"/>
              </w:rPr>
              <w:t>Treatment dates</w:t>
            </w:r>
          </w:p>
        </w:tc>
        <w:tc>
          <w:tcPr>
            <w:tcW w:type="dxa" w:w="1224"/>
            <w:shd w:val="clear" w:color="auto" w:fill="E8EDF4"/>
          </w:tcPr>
          <w:p>
            <w:pPr>
              <w:spacing w:after="40"/>
            </w:pPr>
            <w:r/>
            <w:r>
              <w:rPr>
                <w:b/>
                <w:i w:val="0"/>
                <w:sz w:val="15"/>
              </w:rPr>
              <w:t>System Organ Class</w:t>
            </w:r>
          </w:p>
        </w:tc>
        <w:tc>
          <w:tcPr>
            <w:tcW w:type="dxa" w:w="1080"/>
            <w:shd w:val="clear" w:color="auto" w:fill="E8EDF4"/>
          </w:tcPr>
          <w:p>
            <w:pPr>
              <w:spacing w:after="40"/>
            </w:pPr>
            <w:r/>
            <w:r>
              <w:rPr>
                <w:b/>
                <w:i w:val="0"/>
                <w:sz w:val="15"/>
              </w:rPr>
              <w:t>Serious adverse reaction (MedDRA PT)</w:t>
            </w:r>
          </w:p>
        </w:tc>
        <w:tc>
          <w:tcPr>
            <w:tcW w:type="dxa" w:w="936"/>
            <w:shd w:val="clear" w:color="auto" w:fill="E8EDF4"/>
          </w:tcPr>
          <w:p>
            <w:pPr>
              <w:spacing w:after="40"/>
            </w:pPr>
            <w:r/>
            <w:r>
              <w:rPr>
                <w:b/>
                <w:i w:val="0"/>
                <w:sz w:val="15"/>
              </w:rPr>
              <w:t>Outcome</w:t>
            </w:r>
          </w:p>
        </w:tc>
        <w:tc>
          <w:tcPr>
            <w:tcW w:type="dxa" w:w="1037"/>
            <w:shd w:val="clear" w:color="auto" w:fill="E8EDF4"/>
          </w:tcPr>
          <w:p>
            <w:pPr>
              <w:spacing w:after="40"/>
            </w:pPr>
            <w:r/>
            <w:r>
              <w:rPr>
                <w:b/>
                <w:i w:val="0"/>
                <w:sz w:val="15"/>
              </w:rPr>
              <w:t>Received by sponsor</w:t>
            </w:r>
          </w:p>
        </w:tc>
        <w:tc>
          <w:tcPr>
            <w:tcW w:type="dxa" w:w="1440"/>
            <w:shd w:val="clear" w:color="auto" w:fill="E8EDF4"/>
          </w:tcPr>
          <w:p>
            <w:pPr>
              <w:spacing w:after="40"/>
            </w:pPr>
            <w:r/>
            <w:r>
              <w:rPr>
                <w:b/>
                <w:i w:val="0"/>
                <w:sz w:val="15"/>
              </w:rPr>
              <w:t>Comments</w:t>
            </w:r>
          </w:p>
        </w:tc>
      </w:tr>
      <w:tr>
        <w:tc>
          <w:tcPr>
            <w:tcW w:type="dxa" w:w="749"/>
          </w:tcPr>
          <w:p>
            <w:pPr>
              <w:spacing w:after="40"/>
            </w:pPr>
            <w:r/>
            <w:r>
              <w:rPr>
                <w:b w:val="0"/>
                <w:i w:val="0"/>
                <w:sz w:val="15"/>
              </w:rPr>
              <w:t>XB-301</w:t>
            </w:r>
          </w:p>
        </w:tc>
        <w:tc>
          <w:tcPr>
            <w:tcW w:type="dxa" w:w="835"/>
          </w:tcPr>
          <w:p>
            <w:pPr>
              <w:spacing w:after="40"/>
            </w:pPr>
            <w:r/>
            <w:r>
              <w:rPr>
                <w:b w:val="0"/>
                <w:i w:val="0"/>
                <w:sz w:val="15"/>
              </w:rPr>
              <w:t>301-0112</w:t>
            </w:r>
          </w:p>
        </w:tc>
        <w:tc>
          <w:tcPr>
            <w:tcW w:type="dxa" w:w="1181"/>
          </w:tcPr>
          <w:p>
            <w:pPr>
              <w:spacing w:after="40"/>
            </w:pPr>
            <w:r/>
            <w:r>
              <w:rPr>
                <w:b w:val="0"/>
                <w:i w:val="0"/>
                <w:sz w:val="15"/>
              </w:rPr>
              <w:t>XB-2025-00871</w:t>
            </w:r>
          </w:p>
        </w:tc>
        <w:tc>
          <w:tcPr>
            <w:tcW w:type="dxa" w:w="893"/>
          </w:tcPr>
          <w:p>
            <w:pPr>
              <w:spacing w:after="40"/>
            </w:pPr>
            <w:r/>
            <w:r>
              <w:rPr>
                <w:b w:val="0"/>
                <w:i w:val="0"/>
                <w:sz w:val="15"/>
              </w:rPr>
              <w:t>Poland</w:t>
            </w:r>
          </w:p>
        </w:tc>
        <w:tc>
          <w:tcPr>
            <w:tcW w:type="dxa" w:w="691"/>
          </w:tcPr>
          <w:p>
            <w:pPr>
              <w:spacing w:after="40"/>
            </w:pPr>
            <w:r/>
            <w:r>
              <w:rPr>
                <w:b w:val="0"/>
                <w:i w:val="0"/>
                <w:sz w:val="15"/>
              </w:rPr>
              <w:t>58, M</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306</w:t>
            </w:r>
          </w:p>
        </w:tc>
        <w:tc>
          <w:tcPr>
            <w:tcW w:type="dxa" w:w="1224"/>
          </w:tcPr>
          <w:p>
            <w:pPr>
              <w:spacing w:after="40"/>
            </w:pPr>
            <w:r/>
            <w:r>
              <w:rPr>
                <w:b w:val="0"/>
                <w:i w:val="0"/>
                <w:sz w:val="15"/>
              </w:rPr>
              <w:t>13 January 2025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Sepsis</w:t>
            </w:r>
          </w:p>
        </w:tc>
        <w:tc>
          <w:tcPr>
            <w:tcW w:type="dxa" w:w="936"/>
          </w:tcPr>
          <w:p>
            <w:pPr>
              <w:spacing w:after="40"/>
            </w:pPr>
            <w:r/>
            <w:r>
              <w:rPr>
                <w:b w:val="0"/>
                <w:i w:val="0"/>
                <w:sz w:val="15"/>
              </w:rPr>
              <w:t>Recovered</w:t>
            </w:r>
          </w:p>
        </w:tc>
        <w:tc>
          <w:tcPr>
            <w:tcW w:type="dxa" w:w="1037"/>
          </w:tcPr>
          <w:p>
            <w:pPr>
              <w:spacing w:after="40"/>
            </w:pPr>
            <w:r/>
            <w:r>
              <w:rPr>
                <w:b w:val="0"/>
                <w:i w:val="0"/>
                <w:sz w:val="15"/>
              </w:rPr>
              <w:t>17 November 2025</w:t>
            </w:r>
          </w:p>
        </w:tc>
        <w:tc>
          <w:tcPr>
            <w:tcW w:type="dxa" w:w="1440"/>
          </w:tcPr>
          <w:p>
            <w:pPr>
              <w:spacing w:after="40"/>
            </w:pPr>
            <w:r/>
            <w:r>
              <w:rPr>
                <w:b w:val="0"/>
                <w:i w:val="0"/>
                <w:sz w:val="15"/>
              </w:rPr>
              <w:t>Pneumonia preceded sepsis; listed once, under sepsis. Blind broken for expedited reporting. Sponsor agrees with investigator causality</w:t>
            </w:r>
          </w:p>
        </w:tc>
      </w:tr>
      <w:tr>
        <w:tc>
          <w:tcPr>
            <w:tcW w:type="dxa" w:w="749"/>
          </w:tcPr>
          <w:p>
            <w:pPr>
              <w:spacing w:after="40"/>
            </w:pPr>
            <w:r/>
            <w:r>
              <w:rPr>
                <w:b w:val="0"/>
                <w:i w:val="0"/>
                <w:sz w:val="15"/>
              </w:rPr>
              <w:t>XB-301</w:t>
            </w:r>
          </w:p>
        </w:tc>
        <w:tc>
          <w:tcPr>
            <w:tcW w:type="dxa" w:w="835"/>
          </w:tcPr>
          <w:p>
            <w:pPr>
              <w:spacing w:after="40"/>
            </w:pPr>
            <w:r/>
            <w:r>
              <w:rPr>
                <w:b w:val="0"/>
                <w:i w:val="0"/>
                <w:sz w:val="15"/>
              </w:rPr>
              <w:t>301-0388</w:t>
            </w:r>
          </w:p>
        </w:tc>
        <w:tc>
          <w:tcPr>
            <w:tcW w:type="dxa" w:w="1181"/>
          </w:tcPr>
          <w:p>
            <w:pPr>
              <w:spacing w:after="40"/>
            </w:pPr>
            <w:r/>
            <w:r>
              <w:rPr>
                <w:b w:val="0"/>
                <w:i w:val="0"/>
                <w:sz w:val="15"/>
              </w:rPr>
              <w:t>XB-2026-00214</w:t>
            </w:r>
          </w:p>
        </w:tc>
        <w:tc>
          <w:tcPr>
            <w:tcW w:type="dxa" w:w="893"/>
          </w:tcPr>
          <w:p>
            <w:pPr>
              <w:spacing w:after="40"/>
            </w:pPr>
            <w:r/>
            <w:r>
              <w:rPr>
                <w:b w:val="0"/>
                <w:i w:val="0"/>
                <w:sz w:val="15"/>
              </w:rPr>
              <w:t>Spain</w:t>
            </w:r>
          </w:p>
        </w:tc>
        <w:tc>
          <w:tcPr>
            <w:tcW w:type="dxa" w:w="691"/>
          </w:tcPr>
          <w:p>
            <w:pPr>
              <w:spacing w:after="40"/>
            </w:pPr>
            <w:r/>
            <w:r>
              <w:rPr>
                <w:b w:val="0"/>
                <w:i w:val="0"/>
                <w:sz w:val="15"/>
              </w:rPr>
              <w:t>64, F</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303</w:t>
            </w:r>
          </w:p>
        </w:tc>
        <w:tc>
          <w:tcPr>
            <w:tcW w:type="dxa" w:w="1224"/>
          </w:tcPr>
          <w:p>
            <w:pPr>
              <w:spacing w:after="40"/>
            </w:pPr>
            <w:r/>
            <w:r>
              <w:rPr>
                <w:b w:val="0"/>
                <w:i w:val="0"/>
                <w:sz w:val="15"/>
              </w:rPr>
              <w:t>7 April 2025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Sepsis</w:t>
            </w:r>
          </w:p>
        </w:tc>
        <w:tc>
          <w:tcPr>
            <w:tcW w:type="dxa" w:w="936"/>
          </w:tcPr>
          <w:p>
            <w:pPr>
              <w:spacing w:after="40"/>
            </w:pPr>
            <w:r/>
            <w:r>
              <w:rPr>
                <w:b w:val="0"/>
                <w:i w:val="0"/>
                <w:sz w:val="15"/>
              </w:rPr>
              <w:t>Recovered</w:t>
            </w:r>
          </w:p>
        </w:tc>
        <w:tc>
          <w:tcPr>
            <w:tcW w:type="dxa" w:w="1037"/>
          </w:tcPr>
          <w:p>
            <w:pPr>
              <w:spacing w:after="40"/>
            </w:pPr>
            <w:r/>
            <w:r>
              <w:rPr>
                <w:b w:val="0"/>
                <w:i w:val="0"/>
                <w:sz w:val="15"/>
              </w:rPr>
              <w:t>5 February 2026</w:t>
            </w:r>
          </w:p>
        </w:tc>
        <w:tc>
          <w:tcPr>
            <w:tcW w:type="dxa" w:w="1440"/>
          </w:tcPr>
          <w:p>
            <w:pPr>
              <w:spacing w:after="40"/>
            </w:pPr>
            <w:r/>
            <w:r>
              <w:rPr>
                <w:b w:val="0"/>
                <w:i w:val="0"/>
                <w:sz w:val="15"/>
              </w:rPr>
              <w:t>Staphylococcus aureus bacteremia. Blind broken for expedited reporting. Sponsor agrees with investigator causality</w:t>
            </w:r>
          </w:p>
        </w:tc>
      </w:tr>
      <w:tr>
        <w:tc>
          <w:tcPr>
            <w:tcW w:type="dxa" w:w="749"/>
          </w:tcPr>
          <w:p>
            <w:pPr>
              <w:spacing w:after="40"/>
            </w:pPr>
            <w:r/>
            <w:r>
              <w:rPr>
                <w:b w:val="0"/>
                <w:i w:val="0"/>
                <w:sz w:val="15"/>
              </w:rPr>
              <w:t>XB-301</w:t>
            </w:r>
          </w:p>
        </w:tc>
        <w:tc>
          <w:tcPr>
            <w:tcW w:type="dxa" w:w="835"/>
          </w:tcPr>
          <w:p>
            <w:pPr>
              <w:spacing w:after="40"/>
            </w:pPr>
            <w:r/>
            <w:r>
              <w:rPr>
                <w:b w:val="0"/>
                <w:i w:val="0"/>
                <w:sz w:val="15"/>
              </w:rPr>
              <w:t>301-0457</w:t>
            </w:r>
          </w:p>
        </w:tc>
        <w:tc>
          <w:tcPr>
            <w:tcW w:type="dxa" w:w="1181"/>
          </w:tcPr>
          <w:p>
            <w:pPr>
              <w:spacing w:after="40"/>
            </w:pPr>
            <w:r/>
            <w:r>
              <w:rPr>
                <w:b w:val="0"/>
                <w:i w:val="0"/>
                <w:sz w:val="15"/>
              </w:rPr>
              <w:t>XB-2026-01234</w:t>
            </w:r>
          </w:p>
        </w:tc>
        <w:tc>
          <w:tcPr>
            <w:tcW w:type="dxa" w:w="893"/>
          </w:tcPr>
          <w:p>
            <w:pPr>
              <w:spacing w:after="40"/>
            </w:pPr>
            <w:r/>
            <w:r>
              <w:rPr>
                <w:b w:val="0"/>
                <w:i w:val="0"/>
                <w:sz w:val="15"/>
              </w:rPr>
              <w:t>Germany</w:t>
            </w:r>
          </w:p>
        </w:tc>
        <w:tc>
          <w:tcPr>
            <w:tcW w:type="dxa" w:w="691"/>
          </w:tcPr>
          <w:p>
            <w:pPr>
              <w:spacing w:after="40"/>
            </w:pPr>
            <w:r/>
            <w:r>
              <w:rPr>
                <w:b w:val="0"/>
                <w:i w:val="0"/>
                <w:sz w:val="15"/>
              </w:rPr>
              <w:t>67, F</w:t>
            </w:r>
          </w:p>
        </w:tc>
        <w:tc>
          <w:tcPr>
            <w:tcW w:type="dxa" w:w="950"/>
          </w:tcPr>
          <w:p>
            <w:pPr>
              <w:spacing w:after="40"/>
            </w:pPr>
            <w:r/>
            <w:r>
              <w:rPr>
                <w:b w:val="0"/>
                <w:i w:val="0"/>
                <w:sz w:val="15"/>
              </w:rPr>
              <w:t>Blinded</w:t>
            </w:r>
          </w:p>
        </w:tc>
        <w:tc>
          <w:tcPr>
            <w:tcW w:type="dxa" w:w="1152"/>
          </w:tcPr>
          <w:p>
            <w:pPr>
              <w:spacing w:after="40"/>
            </w:pPr>
            <w:r/>
            <w:r>
              <w:rPr>
                <w:b w:val="0"/>
                <w:i w:val="0"/>
                <w:sz w:val="15"/>
              </w:rPr>
              <w:t>150 mg SC every 4 weeks or placebo</w:t>
            </w:r>
          </w:p>
        </w:tc>
        <w:tc>
          <w:tcPr>
            <w:tcW w:type="dxa" w:w="720"/>
          </w:tcPr>
          <w:p>
            <w:pPr>
              <w:spacing w:after="40"/>
            </w:pPr>
            <w:r/>
            <w:r>
              <w:rPr>
                <w:b w:val="0"/>
                <w:i w:val="0"/>
                <w:sz w:val="15"/>
              </w:rPr>
              <w:t>Day 142</w:t>
            </w:r>
          </w:p>
        </w:tc>
        <w:tc>
          <w:tcPr>
            <w:tcW w:type="dxa" w:w="1224"/>
          </w:tcPr>
          <w:p>
            <w:pPr>
              <w:spacing w:after="40"/>
            </w:pPr>
            <w:r/>
            <w:r>
              <w:rPr>
                <w:b w:val="0"/>
                <w:i w:val="0"/>
                <w:sz w:val="15"/>
              </w:rPr>
              <w:t>10 January 2026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Pneumonia</w:t>
            </w:r>
          </w:p>
        </w:tc>
        <w:tc>
          <w:tcPr>
            <w:tcW w:type="dxa" w:w="936"/>
          </w:tcPr>
          <w:p>
            <w:pPr>
              <w:spacing w:after="40"/>
            </w:pPr>
            <w:r/>
            <w:r>
              <w:rPr>
                <w:b w:val="0"/>
                <w:i w:val="0"/>
                <w:sz w:val="15"/>
              </w:rPr>
              <w:t>Recovered</w:t>
            </w:r>
          </w:p>
        </w:tc>
        <w:tc>
          <w:tcPr>
            <w:tcW w:type="dxa" w:w="1037"/>
          </w:tcPr>
          <w:p>
            <w:pPr>
              <w:spacing w:after="40"/>
            </w:pPr>
            <w:r/>
            <w:r>
              <w:rPr>
                <w:b w:val="0"/>
                <w:i w:val="0"/>
                <w:sz w:val="15"/>
              </w:rPr>
              <w:t>3 June 2026</w:t>
            </w:r>
          </w:p>
        </w:tc>
        <w:tc>
          <w:tcPr>
            <w:tcW w:type="dxa" w:w="1440"/>
          </w:tcPr>
          <w:p>
            <w:pPr>
              <w:spacing w:after="40"/>
            </w:pPr>
            <w:r/>
            <w:r>
              <w:rPr>
                <w:b w:val="0"/>
                <w:i w:val="0"/>
                <w:sz w:val="15"/>
              </w:rPr>
              <w:t>Prednisone 10 mg daily; sponsor agrees with investigator causality</w:t>
            </w:r>
          </w:p>
        </w:tc>
      </w:tr>
      <w:tr>
        <w:tc>
          <w:tcPr>
            <w:tcW w:type="dxa" w:w="749"/>
          </w:tcPr>
          <w:p>
            <w:pPr>
              <w:spacing w:after="40"/>
            </w:pPr>
            <w:r/>
            <w:r>
              <w:rPr>
                <w:b w:val="0"/>
                <w:i w:val="0"/>
                <w:sz w:val="15"/>
              </w:rPr>
              <w:t>XB-302</w:t>
            </w:r>
          </w:p>
        </w:tc>
        <w:tc>
          <w:tcPr>
            <w:tcW w:type="dxa" w:w="835"/>
          </w:tcPr>
          <w:p>
            <w:pPr>
              <w:spacing w:after="40"/>
            </w:pPr>
            <w:r/>
            <w:r>
              <w:rPr>
                <w:b w:val="0"/>
                <w:i w:val="0"/>
                <w:sz w:val="15"/>
              </w:rPr>
              <w:t>302-0045</w:t>
            </w:r>
          </w:p>
        </w:tc>
        <w:tc>
          <w:tcPr>
            <w:tcW w:type="dxa" w:w="1181"/>
          </w:tcPr>
          <w:p>
            <w:pPr>
              <w:spacing w:after="40"/>
            </w:pPr>
            <w:r/>
            <w:r>
              <w:rPr>
                <w:b w:val="0"/>
                <w:i w:val="0"/>
                <w:sz w:val="15"/>
              </w:rPr>
              <w:t>XB-2025-01033</w:t>
            </w:r>
          </w:p>
        </w:tc>
        <w:tc>
          <w:tcPr>
            <w:tcW w:type="dxa" w:w="893"/>
          </w:tcPr>
          <w:p>
            <w:pPr>
              <w:spacing w:after="40"/>
            </w:pPr>
            <w:r/>
            <w:r>
              <w:rPr>
                <w:b w:val="0"/>
                <w:i w:val="0"/>
                <w:sz w:val="15"/>
              </w:rPr>
              <w:t>Germany</w:t>
            </w:r>
          </w:p>
        </w:tc>
        <w:tc>
          <w:tcPr>
            <w:tcW w:type="dxa" w:w="691"/>
          </w:tcPr>
          <w:p>
            <w:pPr>
              <w:spacing w:after="40"/>
            </w:pPr>
            <w:r/>
            <w:r>
              <w:rPr>
                <w:b w:val="0"/>
                <w:i w:val="0"/>
                <w:sz w:val="15"/>
              </w:rPr>
              <w:t>78, F</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1005</w:t>
            </w:r>
          </w:p>
        </w:tc>
        <w:tc>
          <w:tcPr>
            <w:tcW w:type="dxa" w:w="1224"/>
          </w:tcPr>
          <w:p>
            <w:pPr>
              <w:spacing w:after="40"/>
            </w:pPr>
            <w:r/>
            <w:r>
              <w:rPr>
                <w:b w:val="0"/>
                <w:i w:val="0"/>
                <w:sz w:val="15"/>
              </w:rPr>
              <w:t>20 March 2023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Pneumonia</w:t>
            </w:r>
          </w:p>
        </w:tc>
        <w:tc>
          <w:tcPr>
            <w:tcW w:type="dxa" w:w="936"/>
          </w:tcPr>
          <w:p>
            <w:pPr>
              <w:spacing w:after="40"/>
            </w:pPr>
            <w:r/>
            <w:r>
              <w:rPr>
                <w:b w:val="0"/>
                <w:i w:val="0"/>
                <w:sz w:val="15"/>
              </w:rPr>
              <w:t>Recovered</w:t>
            </w:r>
          </w:p>
        </w:tc>
        <w:tc>
          <w:tcPr>
            <w:tcW w:type="dxa" w:w="1037"/>
          </w:tcPr>
          <w:p>
            <w:pPr>
              <w:spacing w:after="40"/>
            </w:pPr>
            <w:r/>
            <w:r>
              <w:rPr>
                <w:b w:val="0"/>
                <w:i w:val="0"/>
                <w:sz w:val="15"/>
              </w:rPr>
              <w:t>22 December 2025</w:t>
            </w:r>
          </w:p>
        </w:tc>
        <w:tc>
          <w:tcPr>
            <w:tcW w:type="dxa" w:w="1440"/>
          </w:tcPr>
          <w:p>
            <w:pPr>
              <w:spacing w:after="40"/>
            </w:pPr>
            <w:r/>
            <w:r>
              <w:rPr>
                <w:b w:val="0"/>
                <w:i w:val="0"/>
                <w:sz w:val="15"/>
              </w:rPr>
              <w:t>Prednisone 5 mg daily; sponsor agrees with investigator causality</w:t>
            </w:r>
          </w:p>
        </w:tc>
      </w:tr>
    </w:tbl>
    <w:p>
      <w:pPr>
        <w:spacing w:after="40"/>
      </w:pPr>
    </w:p>
    <w:p>
      <w:pPr>
        <w:spacing w:before="200"/>
      </w:pPr>
      <w:r>
        <w:rPr>
          <w:b w:val="0"/>
          <w:i/>
          <w:sz w:val="17"/>
        </w:rPr>
        <w:t>Companion material to Writing the DSUR (Selim Medical Press). Fictional data. Not regulatory advice. CC BY-NC 4.0.</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