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t>DSUR executive review card</w:t>
      </w:r>
    </w:p>
    <w:p>
      <w:pPr>
        <w:spacing w:after="60"/>
      </w:pPr>
      <w:r>
        <w:rPr>
          <w:b w:val="0"/>
          <w:i/>
          <w:sz w:val="18"/>
        </w:rPr>
        <w:t>Writing the DSUR, Figure 17.2 · One-page review card (editable). Print it and keep it beside the report during review.</w:t>
      </w:r>
    </w:p>
    <w:tbl>
      <w:tblPr>
        <w:tblStyle w:val="TableGrid"/>
        <w:tblW w:type="auto" w:w="0"/>
        <w:jc w:val="center"/>
        <w:tblLayout w:type="fixed"/>
        <w:tblLook w:firstColumn="1" w:firstRow="1" w:lastColumn="0" w:lastRow="0" w:noHBand="0" w:noVBand="1" w:val="04A0"/>
      </w:tblPr>
      <w:tblGrid>
        <w:gridCol w:w="5184"/>
        <w:gridCol w:w="2304"/>
        <w:gridCol w:w="3744"/>
        <w:gridCol w:w="3024"/>
      </w:tblGrid>
      <w:tr>
        <w:trPr>
          <w:tblHeader w:val="true"/>
        </w:trPr>
        <w:tc>
          <w:tcPr>
            <w:tcW w:type="dxa" w:w="5184"/>
            <w:shd w:val="clear" w:color="auto" w:fill="E8EDF4"/>
          </w:tcPr>
          <w:p>
            <w:pPr>
              <w:spacing w:after="40"/>
            </w:pPr>
            <w:r/>
            <w:r>
              <w:rPr>
                <w:b/>
                <w:i w:val="0"/>
                <w:sz w:val="18"/>
              </w:rPr>
              <w:t>Product and DSUR</w:t>
            </w:r>
          </w:p>
        </w:tc>
        <w:tc>
          <w:tcPr>
            <w:tcW w:type="dxa" w:w="2304"/>
            <w:shd w:val="clear" w:color="auto" w:fill="E8EDF4"/>
          </w:tcPr>
          <w:p>
            <w:pPr>
              <w:spacing w:after="40"/>
            </w:pPr>
            <w:r/>
            <w:r>
              <w:rPr>
                <w:b/>
                <w:i w:val="0"/>
                <w:sz w:val="18"/>
              </w:rPr>
              <w:t>Draft</w:t>
            </w:r>
          </w:p>
        </w:tc>
        <w:tc>
          <w:tcPr>
            <w:tcW w:type="dxa" w:w="3744"/>
            <w:shd w:val="clear" w:color="auto" w:fill="E8EDF4"/>
          </w:tcPr>
          <w:p>
            <w:pPr>
              <w:spacing w:after="40"/>
            </w:pPr>
            <w:r/>
            <w:r>
              <w:rPr>
                <w:b/>
                <w:i w:val="0"/>
                <w:sz w:val="18"/>
              </w:rPr>
              <w:t>Reviewer</w:t>
            </w:r>
          </w:p>
        </w:tc>
        <w:tc>
          <w:tcPr>
            <w:tcW w:type="dxa" w:w="3024"/>
            <w:shd w:val="clear" w:color="auto" w:fill="E8EDF4"/>
          </w:tcPr>
          <w:p>
            <w:pPr>
              <w:spacing w:after="40"/>
            </w:pPr>
            <w:r/>
            <w:r>
              <w:rPr>
                <w:b/>
                <w:i w:val="0"/>
                <w:sz w:val="18"/>
              </w:rPr>
              <w:t>Date</w:t>
            </w:r>
          </w:p>
        </w:tc>
      </w:tr>
      <w:tr>
        <w:tc>
          <w:tcPr>
            <w:tcW w:type="dxa" w:w="5184"/>
          </w:tcPr>
          <w:p>
            <w:pPr>
              <w:spacing w:after="40"/>
            </w:pPr>
            <w:r/>
          </w:p>
        </w:tc>
        <w:tc>
          <w:tcPr>
            <w:tcW w:type="dxa" w:w="2304"/>
          </w:tcPr>
          <w:p>
            <w:pPr>
              <w:spacing w:after="40"/>
            </w:pPr>
            <w:r/>
          </w:p>
        </w:tc>
        <w:tc>
          <w:tcPr>
            <w:tcW w:type="dxa" w:w="3744"/>
          </w:tcPr>
          <w:p>
            <w:pPr>
              <w:spacing w:after="40"/>
            </w:pPr>
            <w:r/>
          </w:p>
        </w:tc>
        <w:tc>
          <w:tcPr>
            <w:tcW w:type="dxa" w:w="3024"/>
          </w:tcPr>
          <w:p>
            <w:pPr>
              <w:spacing w:after="40"/>
            </w:pPr>
            <w:r/>
          </w:p>
        </w:tc>
      </w:tr>
    </w:tbl>
    <w:p>
      <w:pPr>
        <w:spacing w:after="40"/>
      </w:pPr>
    </w:p>
    <w:p>
      <w:pPr>
        <w:spacing w:after="80"/>
      </w:pPr>
      <w:r>
        <w:rPr>
          <w:b/>
          <w:i w:val="0"/>
          <w:sz w:val="18"/>
        </w:rPr>
        <w:t>Reading path, about 30 minutes:</w:t>
      </w:r>
      <w:r>
        <w:rPr>
          <w:b w:val="0"/>
          <w:i w:val="0"/>
          <w:sz w:val="18"/>
        </w:rPr>
        <w:t xml:space="preserve"> Executive Summary 5 · Section 18 10 · Section 19 4 · Section 20 3 · Section 3 3 · Section 17 3 · Sections 4 and 7.1 2. Read the Executive Summary with no other section open, as an ethics committee would, and note every claim to check against the body.</w:t>
      </w:r>
    </w:p>
    <w:tbl>
      <w:tblPr>
        <w:tblStyle w:val="TableGrid"/>
        <w:tblW w:type="auto" w:w="0"/>
        <w:jc w:val="center"/>
        <w:tblLayout w:type="fixed"/>
        <w:tblLook w:firstColumn="1" w:firstRow="1" w:lastColumn="0" w:lastRow="0" w:noHBand="0" w:noVBand="1" w:val="04A0"/>
      </w:tblPr>
      <w:tblGrid>
        <w:gridCol w:w="2088"/>
        <w:gridCol w:w="3960"/>
        <w:gridCol w:w="3671"/>
        <w:gridCol w:w="4536"/>
      </w:tblGrid>
      <w:tr>
        <w:trPr>
          <w:tblHeader w:val="true"/>
        </w:trPr>
        <w:tc>
          <w:tcPr>
            <w:tcW w:type="dxa" w:w="2088"/>
            <w:shd w:val="clear" w:color="auto" w:fill="E8EDF4"/>
          </w:tcPr>
          <w:p>
            <w:pPr>
              <w:spacing w:after="40"/>
            </w:pPr>
            <w:r/>
            <w:r>
              <w:rPr>
                <w:b/>
                <w:i w:val="0"/>
                <w:sz w:val="18"/>
              </w:rPr>
              <w:t>Section</w:t>
            </w:r>
          </w:p>
        </w:tc>
        <w:tc>
          <w:tcPr>
            <w:tcW w:type="dxa" w:w="3960"/>
            <w:shd w:val="clear" w:color="auto" w:fill="E8EDF4"/>
          </w:tcPr>
          <w:p>
            <w:pPr>
              <w:spacing w:after="40"/>
            </w:pPr>
            <w:r/>
            <w:r>
              <w:rPr>
                <w:b/>
                <w:i w:val="0"/>
                <w:sz w:val="18"/>
              </w:rPr>
              <w:t>Question to ask</w:t>
            </w:r>
          </w:p>
        </w:tc>
        <w:tc>
          <w:tcPr>
            <w:tcW w:type="dxa" w:w="3672"/>
            <w:shd w:val="clear" w:color="auto" w:fill="E8EDF4"/>
          </w:tcPr>
          <w:p>
            <w:pPr>
              <w:spacing w:after="40"/>
            </w:pPr>
            <w:r/>
            <w:r>
              <w:rPr>
                <w:b/>
                <w:i w:val="0"/>
                <w:sz w:val="18"/>
              </w:rPr>
              <w:t>Red flag</w:t>
            </w:r>
          </w:p>
        </w:tc>
        <w:tc>
          <w:tcPr>
            <w:tcW w:type="dxa" w:w="4536"/>
            <w:shd w:val="clear" w:color="auto" w:fill="E8EDF4"/>
          </w:tcPr>
          <w:p>
            <w:pPr>
              <w:spacing w:after="40"/>
            </w:pPr>
            <w:r/>
            <w:r>
              <w:rPr>
                <w:b/>
                <w:i w:val="0"/>
                <w:sz w:val="18"/>
              </w:rPr>
              <w:t>Notes (label each comment must-fix or preference)</w:t>
            </w:r>
          </w:p>
        </w:tc>
      </w:tr>
      <w:tr>
        <w:trPr>
          <w:trHeight w:val="605"/>
        </w:trPr>
        <w:tc>
          <w:tcPr>
            <w:tcW w:type="dxa" w:w="2088"/>
          </w:tcPr>
          <w:p>
            <w:pPr>
              <w:spacing w:after="40"/>
            </w:pPr>
            <w:r/>
            <w:r>
              <w:rPr>
                <w:b w:val="0"/>
                <w:i w:val="0"/>
                <w:sz w:val="18"/>
              </w:rPr>
              <w:t>Executive Summary</w:t>
            </w:r>
          </w:p>
        </w:tc>
        <w:tc>
          <w:tcPr>
            <w:tcW w:type="dxa" w:w="3960"/>
          </w:tcPr>
          <w:p>
            <w:pPr>
              <w:spacing w:after="40"/>
            </w:pPr>
            <w:r/>
            <w:r>
              <w:rPr>
                <w:b w:val="0"/>
                <w:i w:val="0"/>
                <w:sz w:val="18"/>
              </w:rPr>
              <w:t>Could an ethics committee understand the safety position from this alone?</w:t>
            </w:r>
          </w:p>
        </w:tc>
        <w:tc>
          <w:tcPr>
            <w:tcW w:type="dxa" w:w="3672"/>
          </w:tcPr>
          <w:p>
            <w:pPr>
              <w:spacing w:after="40"/>
            </w:pPr>
            <w:r/>
            <w:r>
              <w:rPr>
                <w:b w:val="0"/>
                <w:i w:val="0"/>
                <w:sz w:val="18"/>
              </w:rPr>
              <w:t>Statements not found in the body</w:t>
            </w:r>
          </w:p>
        </w:tc>
        <w:tc>
          <w:tcPr>
            <w:tcW w:type="dxa" w:w="4536"/>
          </w:tcPr>
          <w:p>
            <w:pPr>
              <w:spacing w:after="40"/>
            </w:pPr>
            <w:r/>
          </w:p>
        </w:tc>
      </w:tr>
      <w:tr>
        <w:trPr>
          <w:trHeight w:val="605"/>
        </w:trPr>
        <w:tc>
          <w:tcPr>
            <w:tcW w:type="dxa" w:w="2088"/>
          </w:tcPr>
          <w:p>
            <w:pPr>
              <w:spacing w:after="40"/>
            </w:pPr>
            <w:r/>
            <w:r>
              <w:rPr>
                <w:b w:val="0"/>
                <w:i w:val="0"/>
                <w:sz w:val="18"/>
              </w:rPr>
              <w:t>18.1 Overall assessment</w:t>
            </w:r>
          </w:p>
        </w:tc>
        <w:tc>
          <w:tcPr>
            <w:tcW w:type="dxa" w:w="3960"/>
          </w:tcPr>
          <w:p>
            <w:pPr>
              <w:spacing w:after="40"/>
            </w:pPr>
            <w:r/>
            <w:r>
              <w:rPr>
                <w:b w:val="0"/>
                <w:i w:val="0"/>
                <w:sz w:val="18"/>
              </w:rPr>
              <w:t>Does each issue end in an implication for subjects?</w:t>
            </w:r>
          </w:p>
        </w:tc>
        <w:tc>
          <w:tcPr>
            <w:tcW w:type="dxa" w:w="3672"/>
          </w:tcPr>
          <w:p>
            <w:pPr>
              <w:spacing w:after="40"/>
            </w:pPr>
            <w:r/>
            <w:r>
              <w:rPr>
                <w:b w:val="0"/>
                <w:i w:val="0"/>
                <w:sz w:val="18"/>
              </w:rPr>
              <w:t>A recap of Sections 7–15; "no new concerns" with no evidence</w:t>
            </w:r>
          </w:p>
        </w:tc>
        <w:tc>
          <w:tcPr>
            <w:tcW w:type="dxa" w:w="4536"/>
          </w:tcPr>
          <w:p>
            <w:pPr>
              <w:spacing w:after="40"/>
            </w:pPr>
            <w:r/>
          </w:p>
        </w:tc>
      </w:tr>
      <w:tr>
        <w:trPr>
          <w:trHeight w:val="605"/>
        </w:trPr>
        <w:tc>
          <w:tcPr>
            <w:tcW w:type="dxa" w:w="2088"/>
          </w:tcPr>
          <w:p>
            <w:pPr>
              <w:spacing w:after="40"/>
            </w:pPr>
            <w:r/>
            <w:r>
              <w:rPr>
                <w:b w:val="0"/>
                <w:i w:val="0"/>
                <w:sz w:val="18"/>
              </w:rPr>
              <w:t>18.2 Benefit–risk</w:t>
            </w:r>
          </w:p>
        </w:tc>
        <w:tc>
          <w:tcPr>
            <w:tcW w:type="dxa" w:w="3960"/>
          </w:tcPr>
          <w:p>
            <w:pPr>
              <w:spacing w:after="40"/>
            </w:pPr>
            <w:r/>
            <w:r>
              <w:rPr>
                <w:b w:val="0"/>
                <w:i w:val="0"/>
                <w:sz w:val="18"/>
              </w:rPr>
              <w:t>Is any change since the last DSUR stated explicitly?</w:t>
            </w:r>
          </w:p>
        </w:tc>
        <w:tc>
          <w:tcPr>
            <w:tcW w:type="dxa" w:w="3672"/>
          </w:tcPr>
          <w:p>
            <w:pPr>
              <w:spacing w:after="40"/>
            </w:pPr>
            <w:r/>
            <w:r>
              <w:rPr>
                <w:b w:val="0"/>
                <w:i w:val="0"/>
                <w:sz w:val="18"/>
              </w:rPr>
              <w:t>Benefit presented as established while still anticipated</w:t>
            </w:r>
          </w:p>
        </w:tc>
        <w:tc>
          <w:tcPr>
            <w:tcW w:type="dxa" w:w="4536"/>
          </w:tcPr>
          <w:p>
            <w:pPr>
              <w:spacing w:after="40"/>
            </w:pPr>
            <w:r/>
          </w:p>
        </w:tc>
      </w:tr>
      <w:tr>
        <w:trPr>
          <w:trHeight w:val="605"/>
        </w:trPr>
        <w:tc>
          <w:tcPr>
            <w:tcW w:type="dxa" w:w="2088"/>
          </w:tcPr>
          <w:p>
            <w:pPr>
              <w:spacing w:after="40"/>
            </w:pPr>
            <w:r/>
            <w:r>
              <w:rPr>
                <w:b w:val="0"/>
                <w:i w:val="0"/>
                <w:sz w:val="18"/>
              </w:rPr>
              <w:t>19 Important risks</w:t>
            </w:r>
          </w:p>
        </w:tc>
        <w:tc>
          <w:tcPr>
            <w:tcW w:type="dxa" w:w="3960"/>
          </w:tcPr>
          <w:p>
            <w:pPr>
              <w:spacing w:after="40"/>
            </w:pPr>
            <w:r/>
            <w:r>
              <w:rPr>
                <w:b w:val="0"/>
                <w:i w:val="0"/>
                <w:sz w:val="18"/>
              </w:rPr>
              <w:t>Does the list match the IB, protocols and consent forms?</w:t>
            </w:r>
          </w:p>
        </w:tc>
        <w:tc>
          <w:tcPr>
            <w:tcW w:type="dxa" w:w="3672"/>
          </w:tcPr>
          <w:p>
            <w:pPr>
              <w:spacing w:after="40"/>
            </w:pPr>
            <w:r/>
            <w:r>
              <w:rPr>
                <w:b w:val="0"/>
                <w:i w:val="0"/>
                <w:sz w:val="18"/>
              </w:rPr>
              <w:t>A risk dropped without a resolution note</w:t>
            </w:r>
          </w:p>
        </w:tc>
        <w:tc>
          <w:tcPr>
            <w:tcW w:type="dxa" w:w="4536"/>
          </w:tcPr>
          <w:p>
            <w:pPr>
              <w:spacing w:after="40"/>
            </w:pPr>
            <w:r/>
          </w:p>
        </w:tc>
      </w:tr>
      <w:tr>
        <w:trPr>
          <w:trHeight w:val="605"/>
        </w:trPr>
        <w:tc>
          <w:tcPr>
            <w:tcW w:type="dxa" w:w="2088"/>
          </w:tcPr>
          <w:p>
            <w:pPr>
              <w:spacing w:after="40"/>
            </w:pPr>
            <w:r/>
            <w:r>
              <w:rPr>
                <w:b w:val="0"/>
                <w:i w:val="0"/>
                <w:sz w:val="18"/>
              </w:rPr>
              <w:t>20 Conclusions</w:t>
            </w:r>
          </w:p>
        </w:tc>
        <w:tc>
          <w:tcPr>
            <w:tcW w:type="dxa" w:w="3960"/>
          </w:tcPr>
          <w:p>
            <w:pPr>
              <w:spacing w:after="40"/>
            </w:pPr>
            <w:r/>
            <w:r>
              <w:rPr>
                <w:b w:val="0"/>
                <w:i w:val="0"/>
                <w:sz w:val="18"/>
              </w:rPr>
              <w:t>Do the actions match the risks in Section 19?</w:t>
            </w:r>
          </w:p>
        </w:tc>
        <w:tc>
          <w:tcPr>
            <w:tcW w:type="dxa" w:w="3672"/>
          </w:tcPr>
          <w:p>
            <w:pPr>
              <w:spacing w:after="40"/>
            </w:pPr>
            <w:r/>
            <w:r>
              <w:rPr>
                <w:b w:val="0"/>
                <w:i w:val="0"/>
                <w:sz w:val="18"/>
              </w:rPr>
              <w:t>New facts, or conclusions that differ from Section 18</w:t>
            </w:r>
          </w:p>
        </w:tc>
        <w:tc>
          <w:tcPr>
            <w:tcW w:type="dxa" w:w="4536"/>
          </w:tcPr>
          <w:p>
            <w:pPr>
              <w:spacing w:after="40"/>
            </w:pPr>
            <w:r/>
          </w:p>
        </w:tc>
      </w:tr>
      <w:tr>
        <w:trPr>
          <w:trHeight w:val="605"/>
        </w:trPr>
        <w:tc>
          <w:tcPr>
            <w:tcW w:type="dxa" w:w="2088"/>
          </w:tcPr>
          <w:p>
            <w:pPr>
              <w:spacing w:after="40"/>
            </w:pPr>
            <w:r/>
            <w:r>
              <w:rPr>
                <w:b w:val="0"/>
                <w:i w:val="0"/>
                <w:sz w:val="18"/>
              </w:rPr>
              <w:t>3 Actions taken</w:t>
            </w:r>
          </w:p>
        </w:tc>
        <w:tc>
          <w:tcPr>
            <w:tcW w:type="dxa" w:w="3960"/>
          </w:tcPr>
          <w:p>
            <w:pPr>
              <w:spacing w:after="40"/>
            </w:pPr>
            <w:r/>
            <w:r>
              <w:rPr>
                <w:b w:val="0"/>
                <w:i w:val="0"/>
                <w:sz w:val="18"/>
              </w:rPr>
              <w:t>Is every action given a reason?</w:t>
            </w:r>
          </w:p>
        </w:tc>
        <w:tc>
          <w:tcPr>
            <w:tcW w:type="dxa" w:w="3672"/>
          </w:tcPr>
          <w:p>
            <w:pPr>
              <w:spacing w:after="40"/>
            </w:pPr>
            <w:r/>
            <w:r>
              <w:rPr>
                <w:b w:val="0"/>
                <w:i w:val="0"/>
                <w:sz w:val="18"/>
              </w:rPr>
              <w:t>IB changes described here instead of Section 4</w:t>
            </w:r>
          </w:p>
        </w:tc>
        <w:tc>
          <w:tcPr>
            <w:tcW w:type="dxa" w:w="4536"/>
          </w:tcPr>
          <w:p>
            <w:pPr>
              <w:spacing w:after="40"/>
            </w:pPr>
            <w:r/>
          </w:p>
        </w:tc>
      </w:tr>
      <w:tr>
        <w:trPr>
          <w:trHeight w:val="605"/>
        </w:trPr>
        <w:tc>
          <w:tcPr>
            <w:tcW w:type="dxa" w:w="2088"/>
          </w:tcPr>
          <w:p>
            <w:pPr>
              <w:spacing w:after="40"/>
            </w:pPr>
            <w:r/>
            <w:r>
              <w:rPr>
                <w:b w:val="0"/>
                <w:i w:val="0"/>
                <w:sz w:val="18"/>
              </w:rPr>
              <w:t>17 Late-breaking</w:t>
            </w:r>
          </w:p>
        </w:tc>
        <w:tc>
          <w:tcPr>
            <w:tcW w:type="dxa" w:w="3960"/>
          </w:tcPr>
          <w:p>
            <w:pPr>
              <w:spacing w:after="40"/>
            </w:pPr>
            <w:r/>
            <w:r>
              <w:rPr>
                <w:b w:val="0"/>
                <w:i w:val="0"/>
                <w:sz w:val="18"/>
              </w:rPr>
              <w:t>Is each item reflected in Section 18?</w:t>
            </w:r>
          </w:p>
        </w:tc>
        <w:tc>
          <w:tcPr>
            <w:tcW w:type="dxa" w:w="3672"/>
          </w:tcPr>
          <w:p>
            <w:pPr>
              <w:spacing w:after="40"/>
            </w:pPr>
            <w:r/>
            <w:r>
              <w:rPr>
                <w:b w:val="0"/>
                <w:i w:val="0"/>
                <w:sz w:val="18"/>
              </w:rPr>
              <w:t>A post-DLP finding with no assessment</w:t>
            </w:r>
          </w:p>
        </w:tc>
        <w:tc>
          <w:tcPr>
            <w:tcW w:type="dxa" w:w="4536"/>
          </w:tcPr>
          <w:p>
            <w:pPr>
              <w:spacing w:after="40"/>
            </w:pPr>
            <w:r/>
          </w:p>
        </w:tc>
      </w:tr>
      <w:tr>
        <w:trPr>
          <w:trHeight w:val="605"/>
        </w:trPr>
        <w:tc>
          <w:tcPr>
            <w:tcW w:type="dxa" w:w="2088"/>
          </w:tcPr>
          <w:p>
            <w:pPr>
              <w:spacing w:after="40"/>
            </w:pPr>
            <w:r/>
            <w:r>
              <w:rPr>
                <w:b w:val="0"/>
                <w:i w:val="0"/>
                <w:sz w:val="18"/>
              </w:rPr>
              <w:t>4 and 7.1 RSI</w:t>
            </w:r>
          </w:p>
        </w:tc>
        <w:tc>
          <w:tcPr>
            <w:tcW w:type="dxa" w:w="3960"/>
          </w:tcPr>
          <w:p>
            <w:pPr>
              <w:spacing w:after="40"/>
            </w:pPr>
            <w:r/>
            <w:r>
              <w:rPr>
                <w:b w:val="0"/>
                <w:i w:val="0"/>
                <w:sz w:val="18"/>
              </w:rPr>
              <w:t>Is the RSI the edition in effect at the start of the period?</w:t>
            </w:r>
          </w:p>
        </w:tc>
        <w:tc>
          <w:tcPr>
            <w:tcW w:type="dxa" w:w="3672"/>
          </w:tcPr>
          <w:p>
            <w:pPr>
              <w:spacing w:after="40"/>
            </w:pPr>
            <w:r/>
            <w:r>
              <w:rPr>
                <w:b w:val="0"/>
                <w:i w:val="0"/>
                <w:sz w:val="18"/>
              </w:rPr>
              <w:t>A mid-period edition used for expectedness</w:t>
            </w:r>
          </w:p>
        </w:tc>
        <w:tc>
          <w:tcPr>
            <w:tcW w:type="dxa" w:w="4536"/>
          </w:tcPr>
          <w:p>
            <w:pPr>
              <w:spacing w:after="40"/>
            </w:pPr>
            <w:r/>
          </w:p>
        </w:tc>
      </w:tr>
    </w:tbl>
    <w:p>
      <w:pPr>
        <w:spacing w:after="40"/>
      </w:pPr>
    </w:p>
    <w:p>
      <w:pPr>
        <w:spacing w:after="40"/>
      </w:pPr>
      <w:r>
        <w:rPr>
          <w:b/>
          <w:i w:val="0"/>
          <w:sz w:val="17"/>
        </w:rPr>
        <w:t>Before you sign (17.10).</w:t>
      </w:r>
      <w:r>
        <w:rPr>
          <w:b w:val="0"/>
          <w:i w:val="0"/>
          <w:sz w:val="17"/>
        </w:rPr>
        <w:t xml:space="preserve"> (1) Do I understand the program's safety position from the Executive Summary alone? (2) Does every conclusion in Section 20 follow from Section 18? (3) Does Section 19 match what our IB, protocols and consent forms say? (4) Are all the actions I know about in the report? (5) Have my must-fix comments been resolved, and do I agree with how? If any answer is no, do not sign until it is yes.</w:t>
      </w:r>
    </w:p>
    <w:p>
      <w:pPr>
        <w:spacing w:after="0"/>
      </w:pPr>
      <w:r>
        <w:rPr>
          <w:b w:val="0"/>
          <w:i w:val="0"/>
          <w:sz w:val="17"/>
        </w:rPr>
        <w:t>Must-fix: an error of fact, an unsupported conclusion, an inconsistency or a missing issue. Preference: a suggestion the team may accept or decline. Ask questions rather than rewriting (17.6).</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Companion material to Writing the DSUR (Selim Medical Press). Fictional data. Not regulatory advice. CC BY-NC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