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Development Safety Update Report</w:t>
      </w:r>
    </w:p>
    <w:p>
      <w:r>
        <w:rPr>
          <w:b/>
          <w:sz w:val="24"/>
        </w:rPr>
        <w:t>Annotated DSUR shell: every ICH E2F section with its blueprint from Appendix A of Writing the DSUR</w:t>
      </w:r>
    </w:p>
    <w:p>
      <w:r>
        <w:rPr>
          <w:b/>
        </w:rPr>
        <w:t xml:space="preserve">How to use this shell. </w:t>
      </w:r>
      <w:r>
        <w:t>Each section heading follows the E2F table of contents and numbering. Under each heading, the shaded paragraphs (style “DSUR Guidance”) carry the section blueprint from Appendix A, word for word: Logic, Message and model wording, Anatomy, Level of detail, Ask and, where the book gives it, the “If nothing to report” wording. The unshaded paragraph in square brackets below the guidance is where your text goes. When the draft is complete, delete every guidance paragraph: in Word, open the Styles pane, right-click “DSUR Guidance” and choose Select All, press Delete, and repeat for “DSUR Guidance List”. Then delete this page and update the table of contents.</w:t>
      </w:r>
    </w:p>
    <w:p>
      <w:r>
        <w:rPr>
          <w:b/>
        </w:rPr>
        <w:t xml:space="preserve">Source. </w:t>
      </w:r>
      <w:r>
        <w:t>Appendix A, Section Blueprints. Chapter references in parentheses, such as (10.7), point to the chapter section of the book that explains the guidance.</w:t>
      </w:r>
    </w:p>
    <w:p>
      <w:pPr>
        <w:pStyle w:val="Heading2"/>
      </w:pPr>
      <w:r>
        <w:t>About the blueprints (Appendix A)</w:t>
      </w:r>
    </w:p>
    <w:p>
      <w:pPr>
        <w:pStyle w:val="DSURGuidance"/>
        <w:spacing w:before="80"/>
      </w:pPr>
      <w:r>
        <w:rPr>
          <w:b/>
          <w:color w:val="5B7FA6"/>
          <w:sz w:val="16"/>
        </w:rPr>
        <w:t>FROM APPENDIX A</w:t>
      </w:r>
    </w:p>
    <w:p>
      <w:pPr>
        <w:pStyle w:val="DSURGuidance"/>
      </w:pPr>
      <w:r>
        <w:rPr>
          <w:i w:val="0"/>
        </w:rPr>
        <w:t>This appendix is the working reference for writing each part of the report. It follows the table of contents of ICH E2F (E2F §2.7.2) and gives every part the same blueprint:</w:t>
      </w:r>
    </w:p>
    <w:p>
      <w:pPr>
        <w:pStyle w:val="DSURGuidanceList"/>
        <w:tabs>
          <w:tab w:pos="539" w:val="left"/>
        </w:tabs>
      </w:pPr>
      <w:r>
        <w:t>•</w:t>
        <w:tab/>
      </w:r>
      <w:r>
        <w:rPr>
          <w:b/>
        </w:rPr>
        <w:t>Logic:</w:t>
      </w:r>
      <w:r>
        <w:t xml:space="preserve"> the question the section answers, why it sits where it does, what feeds it and what it feeds.</w:t>
      </w:r>
    </w:p>
    <w:p>
      <w:pPr>
        <w:pStyle w:val="DSURGuidanceList"/>
        <w:tabs>
          <w:tab w:pos="539" w:val="left"/>
        </w:tabs>
      </w:pPr>
      <w:r>
        <w:t>•</w:t>
        <w:tab/>
      </w:r>
      <w:r>
        <w:rPr>
          <w:b/>
        </w:rPr>
        <w:t>Message:</w:t>
      </w:r>
      <w:r>
        <w:t xml:space="preserve"> what a reader must take away from it in any year, with model wording.</w:t>
      </w:r>
    </w:p>
    <w:p>
      <w:pPr>
        <w:pStyle w:val="DSURGuidanceList"/>
        <w:tabs>
          <w:tab w:pos="539" w:val="left"/>
        </w:tabs>
      </w:pPr>
      <w:r>
        <w:t>•</w:t>
        <w:tab/>
      </w:r>
      <w:r>
        <w:rPr>
          <w:b/>
        </w:rPr>
        <w:t>Anatomy:</w:t>
      </w:r>
      <w:r>
        <w:t xml:space="preserve"> its parts, in order, and what goes in the body and what in an appendix.</w:t>
      </w:r>
    </w:p>
    <w:p>
      <w:pPr>
        <w:pStyle w:val="DSURGuidanceList"/>
        <w:tabs>
          <w:tab w:pos="539" w:val="left"/>
        </w:tabs>
      </w:pPr>
      <w:r>
        <w:t>•</w:t>
        <w:tab/>
      </w:r>
      <w:r>
        <w:rPr>
          <w:b/>
        </w:rPr>
        <w:t>Level of detail:</w:t>
      </w:r>
      <w:r>
        <w:t xml:space="preserve"> how much to write, by program stage and situation.</w:t>
      </w:r>
    </w:p>
    <w:p>
      <w:pPr>
        <w:pStyle w:val="DSURGuidanceList"/>
        <w:tabs>
          <w:tab w:pos="539" w:val="left"/>
        </w:tabs>
      </w:pPr>
      <w:r>
        <w:t>•</w:t>
        <w:tab/>
      </w:r>
      <w:r>
        <w:rPr>
          <w:b/>
        </w:rPr>
        <w:t>Ask:</w:t>
      </w:r>
      <w:r>
        <w:t xml:space="preserve"> the question a reviewer will ask of it.</w:t>
      </w:r>
    </w:p>
    <w:p>
      <w:pPr>
        <w:pStyle w:val="DSURGuidanceList"/>
        <w:tabs>
          <w:tab w:pos="539" w:val="left"/>
        </w:tabs>
      </w:pPr>
      <w:r>
        <w:t>•</w:t>
        <w:tab/>
      </w:r>
      <w:r>
        <w:rPr>
          <w:b/>
        </w:rPr>
        <w:t>If nothing to report:</w:t>
      </w:r>
      <w:r>
        <w:t xml:space="preserve"> wording for a section with nothing new.</w:t>
      </w:r>
    </w:p>
    <w:p>
      <w:pPr>
        <w:pStyle w:val="DSURGuidance"/>
      </w:pPr>
      <w:r>
        <w:rPr>
          <w:i w:val="0"/>
        </w:rPr>
        <w:t>Square brackets mark text to replace. Numbers in parentheses, such as (10.7), point to the chapter section that explains the guidance. Lengths are given in pages only where a chapter states them; elsewhere the amount is described, because it depends on what happened in the year.</w:t>
      </w:r>
    </w:p>
    <w:p>
      <w:pPr>
        <w:pStyle w:val="DSURGuidance"/>
        <w:spacing w:after="120"/>
      </w:pPr>
      <w:r>
        <w:rPr>
          <w:i w:val="0"/>
        </w:rPr>
        <w:t>E2F expects every section to be present. When a section has nothing to report, say so and say what was considered; a blank or missing section invites the question of whether anyone looked. An editable Word version of this template is in the companion repository.</w:t>
      </w:r>
    </w:p>
    <w:p>
      <w:pPr>
        <w:pStyle w:val="Heading2"/>
      </w:pPr>
      <w:r>
        <w:t>How much detail, by program stage</w:t>
      </w:r>
    </w:p>
    <w:p>
      <w:pPr>
        <w:pStyle w:val="DSURGuidance"/>
        <w:spacing w:before="80"/>
      </w:pPr>
      <w:r>
        <w:rPr>
          <w:b/>
          <w:color w:val="5B7FA6"/>
          <w:sz w:val="16"/>
        </w:rPr>
        <w:t>FROM APPENDIX A</w:t>
      </w:r>
    </w:p>
    <w:p>
      <w:pPr>
        <w:pStyle w:val="DSURGuidance"/>
        <w:spacing w:after="120"/>
      </w:pPr>
      <w:r>
        <w:rPr>
          <w:i w:val="0"/>
        </w:rPr>
        <w:t>The table condenses the level-of-detail guidance in the blueprints that follow. Read across a row to see how a section changes as a program moves from first-in-human trials to the market. Two situations cut across every stage, a first or final DSUR and a quiet year; each blueprint covers them under its own heading where the book gives a basis.</w:t>
      </w:r>
    </w:p>
    <w:tbl>
      <w:tblPr>
        <w:tblStyle w:val="TableGrid"/>
        <w:tblW w:type="auto" w:w="0"/>
        <w:tblLayout w:type="fixed"/>
        <w:tblLook w:firstColumn="1" w:firstRow="1" w:lastColumn="0" w:lastRow="0" w:noHBand="0" w:noVBand="1" w:val="04A0"/>
      </w:tblPr>
      <w:tblGrid>
        <w:gridCol w:w="2041"/>
        <w:gridCol w:w="2438"/>
        <w:gridCol w:w="2438"/>
        <w:gridCol w:w="2438"/>
      </w:tblGrid>
      <w:tr>
        <w:trPr>
          <w:tblHeader w:val="true"/>
        </w:trPr>
        <w:tc>
          <w:tcPr>
            <w:tcW w:type="dxa" w:w="2041"/>
            <w:shd w:val="clear" w:color="auto" w:fill="E8EDF4"/>
          </w:tcPr>
          <w:p>
            <w:r/>
            <w:r>
              <w:rPr>
                <w:b/>
                <w:sz w:val="17"/>
              </w:rPr>
              <w:t>Section</w:t>
            </w:r>
          </w:p>
        </w:tc>
        <w:tc>
          <w:tcPr>
            <w:tcW w:type="dxa" w:w="2438"/>
            <w:shd w:val="clear" w:color="auto" w:fill="E8EDF4"/>
          </w:tcPr>
          <w:p>
            <w:r/>
            <w:r>
              <w:rPr>
                <w:b/>
                <w:sz w:val="17"/>
              </w:rPr>
              <w:t>Early development</w:t>
            </w:r>
          </w:p>
        </w:tc>
        <w:tc>
          <w:tcPr>
            <w:tcW w:type="dxa" w:w="2438"/>
            <w:shd w:val="clear" w:color="auto" w:fill="E8EDF4"/>
          </w:tcPr>
          <w:p>
            <w:r/>
            <w:r>
              <w:rPr>
                <w:b/>
                <w:sz w:val="17"/>
              </w:rPr>
              <w:t>Late development</w:t>
            </w:r>
          </w:p>
        </w:tc>
        <w:tc>
          <w:tcPr>
            <w:tcW w:type="dxa" w:w="2438"/>
            <w:shd w:val="clear" w:color="auto" w:fill="E8EDF4"/>
          </w:tcPr>
          <w:p>
            <w:r/>
            <w:r>
              <w:rPr>
                <w:b/>
                <w:sz w:val="17"/>
              </w:rPr>
              <w:t>Marketed drug</w:t>
            </w:r>
          </w:p>
        </w:tc>
      </w:tr>
      <w:tr>
        <w:tc>
          <w:tcPr>
            <w:tcW w:type="dxa" w:w="2041"/>
          </w:tcPr>
          <w:p>
            <w:r/>
            <w:r>
              <w:rPr>
                <w:b/>
                <w:sz w:val="17"/>
              </w:rPr>
              <w:t>Title page</w:t>
            </w:r>
          </w:p>
        </w:tc>
        <w:tc>
          <w:tcPr>
            <w:tcW w:type="dxa" w:w="2438"/>
          </w:tcPr>
          <w:p>
            <w:r/>
            <w:r>
              <w:rPr>
                <w:sz w:val="17"/>
              </w:rPr>
              <w:t>Standard elements; first-DSUR scope errors repeat for years</w:t>
            </w:r>
          </w:p>
        </w:tc>
        <w:tc>
          <w:tcPr>
            <w:tcW w:type="dxa" w:w="2438"/>
          </w:tcPr>
          <w:p>
            <w:r/>
            <w:r>
              <w:rPr>
                <w:sz w:val="17"/>
              </w:rPr>
              <w:t>Add unblinding caution if report contains unblinded cases</w:t>
            </w:r>
          </w:p>
        </w:tc>
        <w:tc>
          <w:tcPr>
            <w:tcW w:type="dxa" w:w="2438"/>
          </w:tcPr>
          <w:p>
            <w:r/>
            <w:r>
              <w:rPr>
                <w:sz w:val="17"/>
              </w:rPr>
              <w:t>Period follows IBD if synchronized; bridge period under one year</w:t>
            </w:r>
          </w:p>
        </w:tc>
      </w:tr>
      <w:tr>
        <w:tc>
          <w:tcPr>
            <w:tcW w:type="dxa" w:w="2041"/>
          </w:tcPr>
          <w:p>
            <w:r/>
            <w:r>
              <w:rPr>
                <w:b/>
                <w:sz w:val="17"/>
              </w:rPr>
              <w:t>Executive Summary</w:t>
            </w:r>
          </w:p>
        </w:tc>
        <w:tc>
          <w:tcPr>
            <w:tcW w:type="dxa" w:w="2438"/>
          </w:tcPr>
          <w:p>
            <w:r/>
            <w:r>
              <w:rPr>
                <w:sz w:val="17"/>
              </w:rPr>
              <w:t>Subjects by dose, dose-limiting toxicities, basis of each risk</w:t>
            </w:r>
          </w:p>
        </w:tc>
        <w:tc>
          <w:tcPr>
            <w:tcW w:type="dxa" w:w="2438"/>
          </w:tcPr>
          <w:p>
            <w:r/>
            <w:r>
              <w:rPr>
                <w:sz w:val="17"/>
              </w:rPr>
              <w:t>Rates with denominators; estimated exposure flagged; DMC recommendation in full</w:t>
            </w:r>
          </w:p>
        </w:tc>
        <w:tc>
          <w:tcPr>
            <w:tcW w:type="dxa" w:w="2438"/>
          </w:tcPr>
          <w:p>
            <w:r/>
            <w:r>
              <w:rPr>
                <w:sz w:val="17"/>
              </w:rPr>
              <w:t>Marketing status gives number of countries approved</w:t>
            </w:r>
          </w:p>
        </w:tc>
      </w:tr>
      <w:tr>
        <w:tc>
          <w:tcPr>
            <w:tcW w:type="dxa" w:w="2041"/>
          </w:tcPr>
          <w:p>
            <w:r/>
            <w:r>
              <w:rPr>
                <w:b/>
                <w:sz w:val="17"/>
              </w:rPr>
              <w:t>1. Introduction</w:t>
            </w:r>
          </w:p>
        </w:tc>
        <w:tc>
          <w:tcPr>
            <w:tcW w:type="dxa" w:w="2438"/>
          </w:tcPr>
          <w:p>
            <w:r/>
            <w:r>
              <w:rPr>
                <w:sz w:val="17"/>
              </w:rPr>
              <w:t>Full scope statement; every later DSUR inherits it</w:t>
            </w:r>
          </w:p>
        </w:tc>
        <w:tc>
          <w:tcPr>
            <w:tcW w:type="dxa" w:w="2438"/>
          </w:tcPr>
          <w:p>
            <w:r/>
            <w:r>
              <w:rPr>
                <w:sz w:val="17"/>
              </w:rPr>
              <w:t>Each scope change, partner and data gap explained</w:t>
            </w:r>
          </w:p>
        </w:tc>
        <w:tc>
          <w:tcPr>
            <w:tcW w:type="dxa" w:w="2438"/>
          </w:tcPr>
          <w:p>
            <w:r/>
            <w:r>
              <w:rPr>
                <w:sz w:val="17"/>
              </w:rPr>
              <w:t>Explains synchronization with PBRER and bridge period, if chosen</w:t>
            </w:r>
          </w:p>
        </w:tc>
      </w:tr>
      <w:tr>
        <w:tc>
          <w:tcPr>
            <w:tcW w:type="dxa" w:w="2041"/>
          </w:tcPr>
          <w:p>
            <w:r/>
            <w:r>
              <w:rPr>
                <w:b/>
                <w:sz w:val="17"/>
              </w:rPr>
              <w:t>2. Marketing approval status</w:t>
            </w:r>
          </w:p>
        </w:tc>
        <w:tc>
          <w:tcPr>
            <w:tcW w:type="dxa" w:w="2438"/>
          </w:tcPr>
          <w:p>
            <w:r/>
            <w:r>
              <w:rPr>
                <w:sz w:val="17"/>
              </w:rPr>
              <w:t>One sentence: not approved in any country</w:t>
            </w:r>
          </w:p>
        </w:tc>
        <w:tc>
          <w:tcPr>
            <w:tcW w:type="dxa" w:w="2438"/>
          </w:tcPr>
          <w:p>
            <w:r/>
            <w:r>
              <w:rPr>
                <w:sz w:val="17"/>
              </w:rPr>
              <w:t>As early</w:t>
            </w:r>
          </w:p>
        </w:tc>
        <w:tc>
          <w:tcPr>
            <w:tcW w:type="dxa" w:w="2438"/>
          </w:tcPr>
          <w:p>
            <w:r/>
            <w:r>
              <w:rPr>
                <w:sz w:val="17"/>
              </w:rPr>
              <w:t>Brief narrative: first approval, indications, doses, countries</w:t>
            </w:r>
          </w:p>
        </w:tc>
      </w:tr>
      <w:tr>
        <w:tc>
          <w:tcPr>
            <w:tcW w:type="dxa" w:w="2041"/>
          </w:tcPr>
          <w:p>
            <w:r/>
            <w:r>
              <w:rPr>
                <w:b/>
                <w:sz w:val="17"/>
              </w:rPr>
              <w:t>3. Actions for safety reasons</w:t>
            </w:r>
          </w:p>
        </w:tc>
        <w:tc>
          <w:tcPr>
            <w:tcW w:type="dxa" w:w="2438"/>
          </w:tcPr>
          <w:p>
            <w:r/>
            <w:r>
              <w:rPr>
                <w:sz w:val="17"/>
              </w:rPr>
              <w:t>One of the sections carrying the report: dose decisions, monitoring amendments, regulator requests</w:t>
            </w:r>
          </w:p>
        </w:tc>
        <w:tc>
          <w:tcPr>
            <w:tcW w:type="dxa" w:w="2438"/>
          </w:tcPr>
          <w:p>
            <w:r/>
            <w:r>
              <w:rPr>
                <w:sz w:val="17"/>
              </w:rPr>
              <w:t>DMC recommendations, consent revisions, urgent measures; updates to open actions</w:t>
            </w:r>
          </w:p>
        </w:tc>
        <w:tc>
          <w:tcPr>
            <w:tcW w:type="dxa" w:w="2438"/>
          </w:tcPr>
          <w:p>
            <w:r/>
            <w:r>
              <w:rPr>
                <w:sz w:val="17"/>
              </w:rPr>
              <w:t>Market and trial actions in one table; data in Section 11</w:t>
            </w:r>
          </w:p>
        </w:tc>
      </w:tr>
      <w:tr>
        <w:tc>
          <w:tcPr>
            <w:tcW w:type="dxa" w:w="2041"/>
          </w:tcPr>
          <w:p>
            <w:r/>
            <w:r>
              <w:rPr>
                <w:b/>
                <w:sz w:val="17"/>
              </w:rPr>
              <w:t>4. Changes to the RSI</w:t>
            </w:r>
          </w:p>
        </w:tc>
        <w:tc>
          <w:tcPr>
            <w:tcW w:type="dxa" w:w="2438"/>
          </w:tcPr>
          <w:p>
            <w:r/>
            <w:r>
              <w:rPr>
                <w:sz w:val="17"/>
              </w:rPr>
              <w:t>One sentence unless the first IB was revised</w:t>
            </w:r>
          </w:p>
        </w:tc>
        <w:tc>
          <w:tcPr>
            <w:tcW w:type="dxa" w:w="2438"/>
          </w:tcPr>
          <w:p>
            <w:r/>
            <w:r>
              <w:rPr>
                <w:sz w:val="17"/>
              </w:rPr>
              <w:t>Each change: edition, date, basis, cross-references, submission status</w:t>
            </w:r>
          </w:p>
        </w:tc>
        <w:tc>
          <w:tcPr>
            <w:tcW w:type="dxa" w:w="2438"/>
          </w:tcPr>
          <w:p>
            <w:r/>
            <w:r>
              <w:rPr>
                <w:sz w:val="17"/>
              </w:rPr>
              <w:t>Label changes here only if the label is the RSI</w:t>
            </w:r>
          </w:p>
        </w:tc>
      </w:tr>
      <w:tr>
        <w:tc>
          <w:tcPr>
            <w:tcW w:type="dxa" w:w="2041"/>
          </w:tcPr>
          <w:p>
            <w:r/>
            <w:r>
              <w:rPr>
                <w:b/>
                <w:sz w:val="17"/>
              </w:rPr>
              <w:t>5. Inventory of trials</w:t>
            </w:r>
          </w:p>
        </w:tc>
        <w:tc>
          <w:tcPr>
            <w:tcW w:type="dxa" w:w="2438"/>
          </w:tcPr>
          <w:p>
            <w:r/>
            <w:r>
              <w:rPr>
                <w:sz w:val="17"/>
              </w:rPr>
              <w:t>Few trials; subjects by dose level</w:t>
            </w:r>
          </w:p>
        </w:tc>
        <w:tc>
          <w:tcPr>
            <w:tcW w:type="dxa" w:w="2438"/>
          </w:tcPr>
          <w:p>
            <w:r/>
            <w:r>
              <w:rPr>
                <w:sz w:val="17"/>
              </w:rPr>
              <w:t>Blinded splits estimated; extensions flagged; status by CSR finality</w:t>
            </w:r>
          </w:p>
        </w:tc>
        <w:tc>
          <w:tcPr>
            <w:tcW w:type="dxa" w:w="2438"/>
          </w:tcPr>
          <w:p>
            <w:r/>
            <w:r>
              <w:rPr>
                <w:sz w:val="17"/>
              </w:rPr>
              <w:t>Includes Phase 4 trials in approved indications</w:t>
            </w:r>
          </w:p>
        </w:tc>
      </w:tr>
      <w:tr>
        <w:tc>
          <w:tcPr>
            <w:tcW w:type="dxa" w:w="2041"/>
          </w:tcPr>
          <w:p>
            <w:r/>
            <w:r>
              <w:rPr>
                <w:b/>
                <w:sz w:val="17"/>
              </w:rPr>
              <w:t>6. Cumulative exposure</w:t>
            </w:r>
          </w:p>
        </w:tc>
        <w:tc>
          <w:tcPr>
            <w:tcW w:type="dxa" w:w="2438"/>
          </w:tcPr>
          <w:p>
            <w:r/>
            <w:r>
              <w:rPr>
                <w:sz w:val="17"/>
              </w:rPr>
              <w:t>Subjects by dose level, with method paragraph</w:t>
            </w:r>
          </w:p>
        </w:tc>
        <w:tc>
          <w:tcPr>
            <w:tcW w:type="dxa" w:w="2438"/>
          </w:tcPr>
          <w:p>
            <w:r/>
            <w:r>
              <w:rPr>
                <w:sz w:val="17"/>
              </w:rPr>
              <w:t>Actual plus randomization-ratio estimates; subject-years; split as SAE tables</w:t>
            </w:r>
          </w:p>
        </w:tc>
        <w:tc>
          <w:tcPr>
            <w:tcW w:type="dxa" w:w="2438"/>
          </w:tcPr>
          <w:p>
            <w:r/>
            <w:r>
              <w:rPr>
                <w:sz w:val="17"/>
              </w:rPr>
              <w:t>Adds 6.2 from latest PBRER; historical gaps stated</w:t>
            </w:r>
          </w:p>
        </w:tc>
      </w:tr>
      <w:tr>
        <w:tc>
          <w:tcPr>
            <w:tcW w:type="dxa" w:w="2041"/>
          </w:tcPr>
          <w:p>
            <w:r/>
            <w:r>
              <w:rPr>
                <w:b/>
                <w:sz w:val="17"/>
              </w:rPr>
              <w:t>7. Listings and tabulations</w:t>
            </w:r>
          </w:p>
        </w:tc>
        <w:tc>
          <w:tcPr>
            <w:tcW w:type="dxa" w:w="2438"/>
          </w:tcPr>
          <w:p>
            <w:r/>
            <w:r>
              <w:rPr>
                <w:sz w:val="17"/>
              </w:rPr>
              <w:t>First IB edition named; tabulation columns by dose level</w:t>
            </w:r>
          </w:p>
        </w:tc>
        <w:tc>
          <w:tcPr>
            <w:tcW w:type="dxa" w:w="2438"/>
          </w:tcPr>
          <w:p>
            <w:r/>
            <w:r>
              <w:rPr>
                <w:sz w:val="17"/>
              </w:rPr>
              <w:t>Blinded column; pool or split by design; exclusions, AESIs, deaths</w:t>
            </w:r>
          </w:p>
        </w:tc>
        <w:tc>
          <w:tcPr>
            <w:tcW w:type="dxa" w:w="2438"/>
          </w:tcPr>
          <w:p>
            <w:r/>
            <w:r>
              <w:rPr>
                <w:sz w:val="17"/>
              </w:rPr>
              <w:t>IB or label named with reason; marketed cases in Section 11</w:t>
            </w:r>
          </w:p>
        </w:tc>
      </w:tr>
      <w:tr>
        <w:tc>
          <w:tcPr>
            <w:tcW w:type="dxa" w:w="2041"/>
          </w:tcPr>
          <w:p>
            <w:r/>
            <w:r>
              <w:rPr>
                <w:b/>
                <w:sz w:val="17"/>
              </w:rPr>
              <w:t>8. Findings from trials</w:t>
            </w:r>
          </w:p>
        </w:tc>
        <w:tc>
          <w:tcPr>
            <w:tcW w:type="dxa" w:w="2438"/>
          </w:tcPr>
          <w:p>
            <w:r/>
            <w:r>
              <w:rPr>
                <w:sz w:val="17"/>
              </w:rPr>
              <w:t>Few final reports; counts and individual cases, not percentages</w:t>
            </w:r>
          </w:p>
        </w:tc>
        <w:tc>
          <w:tcPr>
            <w:tcW w:type="dxa" w:w="2438"/>
          </w:tcPr>
          <w:p>
            <w:r/>
            <w:r>
              <w:rPr>
                <w:sz w:val="17"/>
              </w:rPr>
              <w:t>One paragraph per completed trial with rates; 8.2 without unblinding</w:t>
            </w:r>
          </w:p>
        </w:tc>
        <w:tc>
          <w:tcPr>
            <w:tcW w:type="dxa" w:w="2438"/>
          </w:tcPr>
          <w:p>
            <w:r/>
            <w:r>
              <w:rPr>
                <w:sz w:val="17"/>
              </w:rPr>
              <w:t>As late</w:t>
            </w:r>
          </w:p>
        </w:tc>
      </w:tr>
      <w:tr>
        <w:tc>
          <w:tcPr>
            <w:tcW w:type="dxa" w:w="2041"/>
          </w:tcPr>
          <w:p>
            <w:r/>
            <w:r>
              <w:rPr>
                <w:b/>
                <w:sz w:val="17"/>
              </w:rPr>
              <w:t>9. Non-interventional studies</w:t>
            </w:r>
          </w:p>
        </w:tc>
        <w:tc>
          <w:tcPr>
            <w:tcW w:type="dxa" w:w="2438"/>
          </w:tcPr>
          <w:p>
            <w:r/>
            <w:r>
              <w:rPr>
                <w:sz w:val="17"/>
              </w:rPr>
              <w:t>Each study's safety conclusion, not design; else what was considered</w:t>
            </w:r>
          </w:p>
        </w:tc>
        <w:tc>
          <w:tcPr>
            <w:tcW w:type="dxa" w:w="2438"/>
          </w:tcPr>
          <w:p>
            <w:r/>
            <w:r>
              <w:rPr>
                <w:sz w:val="17"/>
              </w:rPr>
              <w:t>As early</w:t>
            </w:r>
          </w:p>
        </w:tc>
        <w:tc>
          <w:tcPr>
            <w:tcW w:type="dxa" w:w="2438"/>
          </w:tcPr>
          <w:p>
            <w:r/>
            <w:r>
              <w:rPr>
                <w:sz w:val="17"/>
              </w:rPr>
              <w:t>As early</w:t>
            </w:r>
          </w:p>
        </w:tc>
      </w:tr>
      <w:tr>
        <w:tc>
          <w:tcPr>
            <w:tcW w:type="dxa" w:w="2041"/>
          </w:tcPr>
          <w:p>
            <w:r/>
            <w:r>
              <w:rPr>
                <w:b/>
                <w:sz w:val="17"/>
              </w:rPr>
              <w:t>10. Other trials and studies</w:t>
            </w:r>
          </w:p>
        </w:tc>
        <w:tc>
          <w:tcPr>
            <w:tcW w:type="dxa" w:w="2438"/>
          </w:tcPr>
          <w:p>
            <w:r/>
            <w:r>
              <w:rPr>
                <w:sz w:val="17"/>
              </w:rPr>
              <w:t>Received items with counts; gaps stated; no rates without exposure</w:t>
            </w:r>
          </w:p>
        </w:tc>
        <w:tc>
          <w:tcPr>
            <w:tcW w:type="dxa" w:w="2438"/>
          </w:tcPr>
          <w:p>
            <w:r/>
            <w:r>
              <w:rPr>
                <w:sz w:val="17"/>
              </w:rPr>
              <w:t>As early</w:t>
            </w:r>
          </w:p>
        </w:tc>
        <w:tc>
          <w:tcPr>
            <w:tcW w:type="dxa" w:w="2438"/>
          </w:tcPr>
          <w:p>
            <w:r/>
            <w:r>
              <w:rPr>
                <w:sz w:val="17"/>
              </w:rPr>
              <w:t>As early</w:t>
            </w:r>
          </w:p>
        </w:tc>
      </w:tr>
      <w:tr>
        <w:tc>
          <w:tcPr>
            <w:tcW w:type="dxa" w:w="2041"/>
          </w:tcPr>
          <w:p>
            <w:r/>
            <w:r>
              <w:rPr>
                <w:b/>
                <w:sz w:val="17"/>
              </w:rPr>
              <w:t>11. Marketing experience</w:t>
            </w:r>
          </w:p>
        </w:tc>
        <w:tc>
          <w:tcPr>
            <w:tcW w:type="dxa" w:w="2438"/>
          </w:tcPr>
          <w:p>
            <w:r/>
            <w:r>
              <w:rPr>
                <w:sz w:val="17"/>
              </w:rPr>
              <w:t>Not applicable</w:t>
            </w:r>
          </w:p>
        </w:tc>
        <w:tc>
          <w:tcPr>
            <w:tcW w:type="dxa" w:w="2438"/>
          </w:tcPr>
          <w:p>
            <w:r/>
            <w:r>
              <w:rPr>
                <w:sz w:val="17"/>
              </w:rPr>
              <w:t>Not applicable unless the drug is already approved</w:t>
            </w:r>
          </w:p>
        </w:tc>
        <w:tc>
          <w:tcPr>
            <w:tcW w:type="dxa" w:w="2438"/>
          </w:tcPr>
          <w:p>
            <w:r/>
            <w:r>
              <w:rPr>
                <w:sz w:val="17"/>
              </w:rPr>
              <w:t>PBRER findings and later signals bearing on trials; actions taken</w:t>
            </w:r>
          </w:p>
        </w:tc>
      </w:tr>
      <w:tr>
        <w:tc>
          <w:tcPr>
            <w:tcW w:type="dxa" w:w="2041"/>
          </w:tcPr>
          <w:p>
            <w:r/>
            <w:r>
              <w:rPr>
                <w:b/>
                <w:sz w:val="17"/>
              </w:rPr>
              <w:t>12. Non-clinical data</w:t>
            </w:r>
          </w:p>
        </w:tc>
        <w:tc>
          <w:tcPr>
            <w:tcW w:type="dxa" w:w="2438"/>
          </w:tcPr>
          <w:p>
            <w:r/>
            <w:r>
              <w:rPr>
                <w:sz w:val="17"/>
              </w:rPr>
              <w:t>Each major finding with exposure margin; underpins first risk list</w:t>
            </w:r>
          </w:p>
        </w:tc>
        <w:tc>
          <w:tcPr>
            <w:tcW w:type="dxa" w:w="2438"/>
          </w:tcPr>
          <w:p>
            <w:r/>
            <w:r>
              <w:rPr>
                <w:sz w:val="17"/>
              </w:rPr>
              <w:t>As early</w:t>
            </w:r>
          </w:p>
        </w:tc>
        <w:tc>
          <w:tcPr>
            <w:tcW w:type="dxa" w:w="2438"/>
          </w:tcPr>
          <w:p>
            <w:r/>
            <w:r>
              <w:rPr>
                <w:sz w:val="17"/>
              </w:rPr>
              <w:t>As early</w:t>
            </w:r>
          </w:p>
        </w:tc>
      </w:tr>
      <w:tr>
        <w:tc>
          <w:tcPr>
            <w:tcW w:type="dxa" w:w="2041"/>
          </w:tcPr>
          <w:p>
            <w:r/>
            <w:r>
              <w:rPr>
                <w:b/>
                <w:sz w:val="17"/>
              </w:rPr>
              <w:t>13. Literature</w:t>
            </w:r>
          </w:p>
        </w:tc>
        <w:tc>
          <w:tcPr>
            <w:tcW w:type="dxa" w:w="2438"/>
          </w:tcPr>
          <w:p>
            <w:r/>
            <w:r>
              <w:rPr>
                <w:sz w:val="17"/>
              </w:rPr>
              <w:t>Dated search described; class findings reported even without cases</w:t>
            </w:r>
          </w:p>
        </w:tc>
        <w:tc>
          <w:tcPr>
            <w:tcW w:type="dxa" w:w="2438"/>
          </w:tcPr>
          <w:p>
            <w:r/>
            <w:r>
              <w:rPr>
                <w:sz w:val="17"/>
              </w:rPr>
              <w:t>As early</w:t>
            </w:r>
          </w:p>
        </w:tc>
        <w:tc>
          <w:tcPr>
            <w:tcW w:type="dxa" w:w="2438"/>
          </w:tcPr>
          <w:p>
            <w:r/>
            <w:r>
              <w:rPr>
                <w:sz w:val="17"/>
              </w:rPr>
              <w:t>As early</w:t>
            </w:r>
          </w:p>
        </w:tc>
      </w:tr>
      <w:tr>
        <w:tc>
          <w:tcPr>
            <w:tcW w:type="dxa" w:w="2041"/>
          </w:tcPr>
          <w:p>
            <w:r/>
            <w:r>
              <w:rPr>
                <w:b/>
                <w:sz w:val="17"/>
              </w:rPr>
              <w:t>14. Other DSURs</w:t>
            </w:r>
          </w:p>
        </w:tc>
        <w:tc>
          <w:tcPr>
            <w:tcW w:type="dxa" w:w="2438"/>
          </w:tcPr>
          <w:p>
            <w:r/>
            <w:r>
              <w:rPr>
                <w:sz w:val="17"/>
              </w:rPr>
              <w:t>Each other DSUR: identity, findings, conclusions compared; else one sentence</w:t>
            </w:r>
          </w:p>
        </w:tc>
        <w:tc>
          <w:tcPr>
            <w:tcW w:type="dxa" w:w="2438"/>
          </w:tcPr>
          <w:p>
            <w:r/>
            <w:r>
              <w:rPr>
                <w:sz w:val="17"/>
              </w:rPr>
              <w:t>As early</w:t>
            </w:r>
          </w:p>
        </w:tc>
        <w:tc>
          <w:tcPr>
            <w:tcW w:type="dxa" w:w="2438"/>
          </w:tcPr>
          <w:p>
            <w:r/>
            <w:r>
              <w:rPr>
                <w:sz w:val="17"/>
              </w:rPr>
              <w:t>As early</w:t>
            </w:r>
          </w:p>
        </w:tc>
      </w:tr>
      <w:tr>
        <w:tc>
          <w:tcPr>
            <w:tcW w:type="dxa" w:w="2041"/>
          </w:tcPr>
          <w:p>
            <w:r/>
            <w:r>
              <w:rPr>
                <w:b/>
                <w:sz w:val="17"/>
              </w:rPr>
              <w:t>15. Lack of efficacy</w:t>
            </w:r>
          </w:p>
        </w:tc>
        <w:tc>
          <w:tcPr>
            <w:tcW w:type="dxa" w:w="2438"/>
          </w:tcPr>
          <w:p>
            <w:r/>
            <w:r>
              <w:rPr>
                <w:sz w:val="17"/>
              </w:rPr>
              <w:t>Serious indications only; otherwise one not-applicable sentence</w:t>
            </w:r>
          </w:p>
        </w:tc>
        <w:tc>
          <w:tcPr>
            <w:tcW w:type="dxa" w:w="2438"/>
          </w:tcPr>
          <w:p>
            <w:r/>
            <w:r>
              <w:rPr>
                <w:sz w:val="17"/>
              </w:rPr>
              <w:t>Worse outcomes than comparator in serious disease: here and Section 8</w:t>
            </w:r>
          </w:p>
        </w:tc>
        <w:tc>
          <w:tcPr>
            <w:tcW w:type="dxa" w:w="2438"/>
          </w:tcPr>
          <w:p>
            <w:r/>
            <w:r>
              <w:rPr>
                <w:sz w:val="17"/>
              </w:rPr>
              <w:t>As late</w:t>
            </w:r>
          </w:p>
        </w:tc>
      </w:tr>
      <w:tr>
        <w:tc>
          <w:tcPr>
            <w:tcW w:type="dxa" w:w="2041"/>
          </w:tcPr>
          <w:p>
            <w:r/>
            <w:r>
              <w:rPr>
                <w:b/>
                <w:sz w:val="17"/>
              </w:rPr>
              <w:t>16. Region-specific information</w:t>
            </w:r>
          </w:p>
        </w:tc>
        <w:tc>
          <w:tcPr>
            <w:tcW w:type="dxa" w:w="2438"/>
          </w:tcPr>
          <w:p>
            <w:r/>
            <w:r>
              <w:rPr>
                <w:sz w:val="17"/>
              </w:rPr>
              <w:t>Pointer sentence; regional appendices as the matrix requires</w:t>
            </w:r>
          </w:p>
        </w:tc>
        <w:tc>
          <w:tcPr>
            <w:tcW w:type="dxa" w:w="2438"/>
          </w:tcPr>
          <w:p>
            <w:r/>
            <w:r>
              <w:rPr>
                <w:sz w:val="17"/>
              </w:rPr>
              <w:t>As early</w:t>
            </w:r>
          </w:p>
        </w:tc>
        <w:tc>
          <w:tcPr>
            <w:tcW w:type="dxa" w:w="2438"/>
          </w:tcPr>
          <w:p>
            <w:r/>
            <w:r>
              <w:rPr>
                <w:sz w:val="17"/>
              </w:rPr>
              <w:t>As early; recalculate regional deadlines if synchronized with PBRER</w:t>
            </w:r>
          </w:p>
        </w:tc>
      </w:tr>
      <w:tr>
        <w:tc>
          <w:tcPr>
            <w:tcW w:type="dxa" w:w="2041"/>
          </w:tcPr>
          <w:p>
            <w:r/>
            <w:r>
              <w:rPr>
                <w:b/>
                <w:sz w:val="17"/>
              </w:rPr>
              <w:t>17. Late-breaking information</w:t>
            </w:r>
          </w:p>
        </w:tc>
        <w:tc>
          <w:tcPr>
            <w:tcW w:type="dxa" w:w="2438"/>
          </w:tcPr>
          <w:p>
            <w:r/>
            <w:r>
              <w:rPr>
                <w:sz w:val="17"/>
              </w:rPr>
              <w:t>Only items clearing the bar; otherwise one sentence</w:t>
            </w:r>
          </w:p>
        </w:tc>
        <w:tc>
          <w:tcPr>
            <w:tcW w:type="dxa" w:w="2438"/>
          </w:tcPr>
          <w:p>
            <w:r/>
            <w:r>
              <w:rPr>
                <w:sz w:val="17"/>
              </w:rPr>
              <w:t>Post-lock DMC reviews assigned at kickoff; carried into Section 18</w:t>
            </w:r>
          </w:p>
        </w:tc>
        <w:tc>
          <w:tcPr>
            <w:tcW w:type="dxa" w:w="2438"/>
          </w:tcPr>
          <w:p>
            <w:r/>
            <w:r>
              <w:rPr>
                <w:sz w:val="17"/>
              </w:rPr>
              <w:t>As early</w:t>
            </w:r>
          </w:p>
        </w:tc>
      </w:tr>
      <w:tr>
        <w:tc>
          <w:tcPr>
            <w:tcW w:type="dxa" w:w="2041"/>
          </w:tcPr>
          <w:p>
            <w:r/>
            <w:r>
              <w:rPr>
                <w:b/>
                <w:sz w:val="17"/>
              </w:rPr>
              <w:t>18. Overall safety assessment</w:t>
            </w:r>
          </w:p>
        </w:tc>
        <w:tc>
          <w:tcPr>
            <w:tcW w:type="dxa" w:w="2438"/>
          </w:tcPr>
          <w:p>
            <w:r/>
            <w:r>
              <w:rPr>
                <w:sz w:val="17"/>
              </w:rPr>
              <w:t>About two pages; serious cases described individually</w:t>
            </w:r>
          </w:p>
        </w:tc>
        <w:tc>
          <w:tcPr>
            <w:tcW w:type="dxa" w:w="2438"/>
          </w:tcPr>
          <w:p>
            <w:r/>
            <w:r>
              <w:rPr>
                <w:sz w:val="17"/>
              </w:rPr>
              <w:t>Rates against named references; eight to ten pages when mature</w:t>
            </w:r>
          </w:p>
        </w:tc>
        <w:tc>
          <w:tcPr>
            <w:tcW w:type="dxa" w:w="2438"/>
          </w:tcPr>
          <w:p>
            <w:r/>
            <w:r>
              <w:rPr>
                <w:sz w:val="17"/>
              </w:rPr>
              <w:t>Adds post-marketing data; assessed as in the PBRER unless populations differ</w:t>
            </w:r>
          </w:p>
        </w:tc>
      </w:tr>
      <w:tr>
        <w:tc>
          <w:tcPr>
            <w:tcW w:type="dxa" w:w="2041"/>
          </w:tcPr>
          <w:p>
            <w:r/>
            <w:r>
              <w:rPr>
                <w:b/>
                <w:sz w:val="17"/>
              </w:rPr>
              <w:t>19. Important risks</w:t>
            </w:r>
          </w:p>
        </w:tc>
        <w:tc>
          <w:tcPr>
            <w:tcW w:type="dxa" w:w="2438"/>
          </w:tcPr>
          <w:p>
            <w:r/>
            <w:r>
              <w:rPr>
                <w:sz w:val="17"/>
              </w:rPr>
              <w:t>Individual cases; each risk's basis stated, often nonclinical</w:t>
            </w:r>
          </w:p>
        </w:tc>
        <w:tc>
          <w:tcPr>
            <w:tcW w:type="dxa" w:w="2438"/>
          </w:tcPr>
          <w:p>
            <w:r/>
            <w:r>
              <w:rPr>
                <w:sz w:val="17"/>
              </w:rPr>
              <w:t>Rates by arm replace case narratives</w:t>
            </w:r>
          </w:p>
        </w:tc>
        <w:tc>
          <w:tcPr>
            <w:tcW w:type="dxa" w:w="2438"/>
          </w:tcPr>
          <w:p>
            <w:r/>
            <w:r>
              <w:rPr>
                <w:sz w:val="17"/>
              </w:rPr>
              <w:t>Names and statuses match the risk management plan</w:t>
            </w:r>
          </w:p>
        </w:tc>
      </w:tr>
      <w:tr>
        <w:tc>
          <w:tcPr>
            <w:tcW w:type="dxa" w:w="2041"/>
          </w:tcPr>
          <w:p>
            <w:r/>
            <w:r>
              <w:rPr>
                <w:b/>
                <w:sz w:val="17"/>
              </w:rPr>
              <w:t>20. Conclusions</w:t>
            </w:r>
          </w:p>
        </w:tc>
        <w:tc>
          <w:tcPr>
            <w:tcW w:type="dxa" w:w="2438"/>
          </w:tcPr>
          <w:p>
            <w:r/>
            <w:r>
              <w:rPr>
                <w:sz w:val="17"/>
              </w:rPr>
              <w:t>Under a page; changes, then checkable actions</w:t>
            </w:r>
          </w:p>
        </w:tc>
        <w:tc>
          <w:tcPr>
            <w:tcW w:type="dxa" w:w="2438"/>
          </w:tcPr>
          <w:p>
            <w:r/>
            <w:r>
              <w:rPr>
                <w:sz w:val="17"/>
              </w:rPr>
              <w:t>As early</w:t>
            </w:r>
          </w:p>
        </w:tc>
        <w:tc>
          <w:tcPr>
            <w:tcW w:type="dxa" w:w="2438"/>
          </w:tcPr>
          <w:p>
            <w:r/>
            <w:r>
              <w:rPr>
                <w:sz w:val="17"/>
              </w:rPr>
              <w:t>As early</w:t>
            </w:r>
          </w:p>
        </w:tc>
      </w:tr>
      <w:tr>
        <w:tc>
          <w:tcPr>
            <w:tcW w:type="dxa" w:w="2041"/>
          </w:tcPr>
          <w:p>
            <w:r/>
            <w:r>
              <w:rPr>
                <w:b/>
                <w:sz w:val="17"/>
              </w:rPr>
              <w:t>Appendices</w:t>
            </w:r>
          </w:p>
        </w:tc>
        <w:tc>
          <w:tcPr>
            <w:tcW w:type="dxa" w:w="2438"/>
          </w:tcPr>
          <w:p>
            <w:r/>
            <w:r>
              <w:rPr>
                <w:sz w:val="17"/>
              </w:rPr>
              <w:t>Dose-level columns for open-label dose finding</w:t>
            </w:r>
          </w:p>
        </w:tc>
        <w:tc>
          <w:tcPr>
            <w:tcW w:type="dxa" w:w="2438"/>
          </w:tcPr>
          <w:p>
            <w:r/>
            <w:r>
              <w:rPr>
                <w:sz w:val="17"/>
              </w:rPr>
              <w:t>Arm and blinded columns; split where populations differ</w:t>
            </w:r>
          </w:p>
        </w:tc>
        <w:tc>
          <w:tcPr>
            <w:tcW w:type="dxa" w:w="2438"/>
          </w:tcPr>
          <w:p>
            <w:r/>
            <w:r>
              <w:rPr>
                <w:sz w:val="17"/>
              </w:rPr>
              <w:t>Marketed-use cases go to Section 11, not listings</w:t>
            </w:r>
          </w:p>
        </w:tc>
      </w:tr>
    </w:tbl>
    <w:p>
      <w:r>
        <w:br w:type="page"/>
      </w:r>
    </w:p>
    <w:p>
      <w:pPr>
        <w:pStyle w:val="Heading1"/>
      </w:pPr>
      <w:r>
        <w:t>Title page</w:t>
      </w:r>
    </w:p>
    <w:p>
      <w:pPr>
        <w:pStyle w:val="DSURGuidance"/>
        <w:spacing w:before="40"/>
      </w:pPr>
      <w:r>
        <w:rPr>
          <w:i/>
        </w:rPr>
        <w:t>Book: Chapters 2 and 16; E2F §3, title page</w:t>
      </w:r>
    </w:p>
    <w:p>
      <w:pPr>
        <w:pStyle w:val="DSURGuidance"/>
        <w:spacing w:before="80"/>
      </w:pPr>
      <w:r>
        <w:rPr>
          <w:b/>
          <w:color w:val="5B7FA6"/>
          <w:sz w:val="16"/>
        </w:rPr>
        <w:t>GUIDANCE (DELETE BEFORE SUBMISSION)</w:t>
      </w:r>
    </w:p>
    <w:p>
      <w:pPr>
        <w:pStyle w:val="DSURGuidance"/>
        <w:spacing w:before="60"/>
      </w:pPr>
      <w:r>
        <w:rPr>
          <w:b/>
        </w:rPr>
        <w:t>Logic.</w:t>
      </w:r>
      <w:r>
        <w:rPr>
          <w:i w:val="0"/>
        </w:rPr>
        <w:t xml:space="preserve"> The title page identifies the report: which drug, which numbered report and which period. Its dates and number come from the scope record, the single source for the data lock point and reporting period (2.6, 13.5), and they must follow from the DIBD. Together with the Executive Summary it forms the stand-alone version that may go to ethics committees (E2F §1.5; 14.5).</w:t>
      </w:r>
    </w:p>
    <w:p>
      <w:pPr>
        <w:pStyle w:val="DSURGuidance"/>
        <w:spacing w:before="60"/>
      </w:pPr>
      <w:r>
        <w:rPr>
          <w:b/>
        </w:rPr>
        <w:t>Message.</w:t>
      </w:r>
      <w:r>
        <w:rPr>
          <w:i w:val="0"/>
        </w:rPr>
        <w:t xml:space="preserve"> This is report number [n] for [drug], covering a period that follows from the DIBD, and it does or does not contain unblinded information.</w:t>
      </w:r>
    </w:p>
    <w:p>
      <w:pPr>
        <w:pStyle w:val="DSURGuidance"/>
        <w:spacing w:before="60"/>
      </w:pPr>
      <w:r>
        <w:rPr>
          <w:b/>
        </w:rPr>
        <w:t>Model:</w:t>
      </w:r>
      <w:r>
        <w:rPr>
          <w:i/>
        </w:rPr>
        <w:t xml:space="preserve"> Development Safety Update Report No. [n] for [drug code / INN]. Reporting period: [DD Month YYYY] to [DD Month YYYY]. Date of this report: [DD Month YYYY]. This report contains confidential information belonging to [Sponsor]. [This report contains unblinded information.]</w:t>
      </w:r>
    </w:p>
    <w:p>
      <w:pPr>
        <w:pStyle w:val="DSURGuidance"/>
        <w:spacing w:before="60"/>
      </w:pPr>
      <w:r>
        <w:rPr>
          <w:b/>
        </w:rPr>
        <w:t>Anatomy.</w:t>
      </w:r>
      <w:r>
        <w:rPr>
          <w:i w:val="0"/>
        </w:rPr>
      </w:r>
    </w:p>
    <w:p>
      <w:pPr>
        <w:pStyle w:val="DSURGuidanceList"/>
        <w:tabs>
          <w:tab w:pos="539" w:val="left"/>
        </w:tabs>
      </w:pPr>
      <w:r>
        <w:t>1.</w:t>
        <w:tab/>
        <w:t>DSUR number, numbered sequentially.</w:t>
      </w:r>
    </w:p>
    <w:p>
      <w:pPr>
        <w:pStyle w:val="DSURGuidanceList"/>
        <w:tabs>
          <w:tab w:pos="539" w:val="left"/>
        </w:tabs>
      </w:pPr>
      <w:r>
        <w:t>2.</w:t>
        <w:tab/>
        <w:t>The investigational drug or drugs.</w:t>
      </w:r>
    </w:p>
    <w:p>
      <w:pPr>
        <w:pStyle w:val="DSURGuidanceList"/>
        <w:tabs>
          <w:tab w:pos="539" w:val="left"/>
        </w:tabs>
      </w:pPr>
      <w:r>
        <w:t>3.</w:t>
        <w:tab/>
        <w:t>The reporting period, starting on the month and day of the DIBD, or of the IBD if the sponsor has synchronized with the PBRER (2.2).</w:t>
      </w:r>
    </w:p>
    <w:p>
      <w:pPr>
        <w:pStyle w:val="DSURGuidanceList"/>
        <w:tabs>
          <w:tab w:pos="539" w:val="left"/>
        </w:tabs>
      </w:pPr>
      <w:r>
        <w:t>4.</w:t>
        <w:tab/>
        <w:t>The date of the report.</w:t>
      </w:r>
    </w:p>
    <w:p>
      <w:pPr>
        <w:pStyle w:val="DSURGuidanceList"/>
        <w:tabs>
          <w:tab w:pos="539" w:val="left"/>
        </w:tabs>
      </w:pPr>
      <w:r>
        <w:t>5.</w:t>
        <w:tab/>
        <w:t>The sponsor's name and address.</w:t>
      </w:r>
    </w:p>
    <w:p>
      <w:pPr>
        <w:pStyle w:val="DSURGuidanceList"/>
        <w:tabs>
          <w:tab w:pos="539" w:val="left"/>
        </w:tabs>
      </w:pPr>
      <w:r>
        <w:t>6.</w:t>
        <w:tab/>
        <w:t>A confidentiality statement. It protects the sponsor's information, not a trial's blind; only the distribution list protects the blind (2.8).</w:t>
      </w:r>
    </w:p>
    <w:p>
      <w:pPr>
        <w:pStyle w:val="DSURGuidanceList"/>
        <w:tabs>
          <w:tab w:pos="539" w:val="left"/>
        </w:tabs>
      </w:pPr>
      <w:r>
        <w:t>7.</w:t>
        <w:tab/>
        <w:t>Where applicable, a caution that the report contains unblinded information (2.8).</w:t>
      </w:r>
    </w:p>
    <w:p>
      <w:pPr>
        <w:pStyle w:val="DSURGuidanceList"/>
        <w:tabs>
          <w:tab w:pos="539" w:val="left"/>
        </w:tabs>
      </w:pPr>
      <w:r>
        <w:t>8.</w:t>
        <w:tab/>
        <w:t>Where this is the last DSUR for a region, a statement that it is final, in that region's version only (16.3).</w:t>
      </w:r>
    </w:p>
    <w:p>
      <w:pPr>
        <w:pStyle w:val="DSURGuidance"/>
        <w:spacing w:before="60"/>
      </w:pPr>
      <w:r>
        <w:rPr>
          <w:b/>
        </w:rPr>
        <w:t>Level of detail.</w:t>
      </w:r>
      <w:r>
        <w:rPr>
          <w:i w:val="0"/>
        </w:rPr>
      </w:r>
    </w:p>
    <w:p>
      <w:pPr>
        <w:pStyle w:val="DSURGuidanceList"/>
        <w:tabs>
          <w:tab w:pos="539" w:val="left"/>
        </w:tabs>
      </w:pPr>
      <w:r>
        <w:t>•</w:t>
        <w:tab/>
      </w:r>
      <w:r>
        <w:rPr>
          <w:b/>
        </w:rPr>
        <w:t>Late development (large, often blinded trials):</w:t>
      </w:r>
      <w:r>
        <w:t xml:space="preserve"> Decide at kickoff whether the report will contain unblinded information, such as cases unblinded for expedited reporting or by a DMC, and carry the caution if it does; it is easily forgotten when a DMC has unblinded individual cases (2.8, 2.9).</w:t>
      </w:r>
    </w:p>
    <w:p>
      <w:pPr>
        <w:pStyle w:val="DSURGuidanceList"/>
        <w:tabs>
          <w:tab w:pos="539" w:val="left"/>
        </w:tabs>
      </w:pPr>
      <w:r>
        <w:t>•</w:t>
        <w:tab/>
      </w:r>
      <w:r>
        <w:rPr>
          <w:b/>
        </w:rPr>
        <w:t>Marketed drug:</w:t>
      </w:r>
      <w:r>
        <w:t xml:space="preserve"> If the sponsor moves the DSUR onto the IBD, the period of the bridge report is shorter than a year, and no DSUR period may exceed one year (2.2, 16.7).</w:t>
      </w:r>
    </w:p>
    <w:p>
      <w:pPr>
        <w:pStyle w:val="DSURGuidanceList"/>
        <w:tabs>
          <w:tab w:pos="539" w:val="left"/>
        </w:tabs>
      </w:pPr>
      <w:r>
        <w:t>•</w:t>
        <w:tab/>
      </w:r>
      <w:r>
        <w:rPr>
          <w:b/>
        </w:rPr>
        <w:t>First DSUR / final DSUR:</w:t>
      </w:r>
      <w:r>
        <w:t xml:space="preserve"> In the first DSUR the title page and Section 1 fix what every later report inherits, so errors here repeat for years (16.2). A final DSUR says so on the title page of the region concerned, and the same statement opens Section 1; versions for regions where reporting continues carry no such statement (16.3).</w:t>
      </w:r>
    </w:p>
    <w:p>
      <w:pPr>
        <w:pStyle w:val="DSURGuidanceList"/>
        <w:tabs>
          <w:tab w:pos="539" w:val="left"/>
        </w:tabs>
      </w:pPr>
      <w:r>
        <w:t>•</w:t>
        <w:tab/>
      </w:r>
      <w:r>
        <w:rPr>
          <w:b/>
        </w:rPr>
        <w:t>Quiet year:</w:t>
      </w:r>
      <w:r>
        <w:t xml:space="preserve"> The same elements as every year; check that the number is the next in the series and that the period still starts on the DIBD's month and day (2.1).</w:t>
      </w:r>
    </w:p>
    <w:p>
      <w:pPr>
        <w:pStyle w:val="DSURGuidance"/>
        <w:spacing w:before="60" w:after="120"/>
      </w:pPr>
      <w:r>
        <w:rPr>
          <w:b/>
        </w:rPr>
        <w:t>Ask:</w:t>
      </w:r>
      <w:r>
        <w:rPr>
          <w:i w:val="0"/>
        </w:rPr>
        <w:t xml:space="preserve"> Do the period and DSUR number follow from the DIBD in the scope record? (Chapter 2)</w:t>
      </w:r>
    </w:p>
    <w:p>
      <w:pPr>
        <w:pStyle w:val="DSURPlaceholder"/>
        <w:spacing w:before="40"/>
      </w:pPr>
      <w:r>
        <w:t>[DSUR number]</w:t>
      </w:r>
    </w:p>
    <w:p>
      <w:pPr>
        <w:pStyle w:val="DSURPlaceholder"/>
        <w:spacing w:before="40"/>
      </w:pPr>
      <w:r>
        <w:t>[Investigational drug or drugs]</w:t>
      </w:r>
    </w:p>
    <w:p>
      <w:pPr>
        <w:pStyle w:val="DSURPlaceholder"/>
        <w:spacing w:before="40"/>
      </w:pPr>
      <w:r>
        <w:t>Reporting period: [DD Month YYYY] to [DD Month YYYY]</w:t>
      </w:r>
    </w:p>
    <w:p>
      <w:pPr>
        <w:pStyle w:val="DSURPlaceholder"/>
        <w:spacing w:before="40"/>
      </w:pPr>
      <w:r>
        <w:t>Date of this report: [DD Month YYYY]</w:t>
      </w:r>
    </w:p>
    <w:p>
      <w:pPr>
        <w:pStyle w:val="DSURPlaceholder"/>
        <w:spacing w:before="40"/>
      </w:pPr>
      <w:r>
        <w:t>[Sponsor name and address]</w:t>
      </w:r>
    </w:p>
    <w:p>
      <w:pPr>
        <w:pStyle w:val="DSURPlaceholder"/>
        <w:spacing w:before="40"/>
      </w:pPr>
      <w:r>
        <w:t>[Confidentiality statement]</w:t>
      </w:r>
    </w:p>
    <w:p>
      <w:pPr>
        <w:pStyle w:val="DSURPlaceholder"/>
        <w:spacing w:before="40"/>
      </w:pPr>
      <w:r>
        <w:t>[Where applicable: This report contains unblinded information.]</w:t>
      </w:r>
    </w:p>
    <w:p>
      <w:pPr>
        <w:pStyle w:val="Heading1"/>
      </w:pPr>
      <w:r>
        <w:t>Executive Summary</w:t>
      </w:r>
    </w:p>
    <w:p>
      <w:pPr>
        <w:pStyle w:val="DSURGuidance"/>
        <w:spacing w:before="40"/>
      </w:pPr>
      <w:r>
        <w:rPr>
          <w:i/>
        </w:rPr>
        <w:t>Book: Chapter 12; E2F §3, Executive Summary; E2F §1.5</w:t>
      </w:r>
    </w:p>
    <w:p>
      <w:pPr>
        <w:pStyle w:val="DSURGuidance"/>
        <w:spacing w:before="80"/>
      </w:pPr>
      <w:r>
        <w:rPr>
          <w:b/>
          <w:color w:val="5B7FA6"/>
          <w:sz w:val="16"/>
        </w:rPr>
        <w:t>GUIDANCE (DELETE BEFORE SUBMISSION)</w:t>
      </w:r>
    </w:p>
    <w:p>
      <w:pPr>
        <w:pStyle w:val="DSURGuidance"/>
        <w:spacing w:before="60"/>
      </w:pPr>
      <w:r>
        <w:rPr>
          <w:b/>
        </w:rPr>
        <w:t>Logic.</w:t>
      </w:r>
      <w:r>
        <w:rPr>
          <w:i w:val="0"/>
        </w:rPr>
        <w:t xml:space="preserve"> The Executive Summary answers, for a reader who sees nothing else, what the drug is, what its important risks are, what changed this year and what the sponsor is doing about it. With the title page it can serve as the annual safety report to ethics committees (E2F §1.5), and the regulatory assessor reads it first, before Section 18 (Chapter 1, What reviewers look for). Write it last, from the signed-off body: every item has a source section (title page and Sections 1, 2, 3, 4, 6, 17, 18, 19 and 20), and nothing may appear here that is not in the body (12.4).</w:t>
      </w:r>
    </w:p>
    <w:p>
      <w:pPr>
        <w:pStyle w:val="DSURGuidance"/>
        <w:spacing w:before="60"/>
      </w:pPr>
      <w:r>
        <w:rPr>
          <w:b/>
        </w:rPr>
        <w:t>Message.</w:t>
      </w:r>
      <w:r>
        <w:rPr>
          <w:i w:val="0"/>
        </w:rPr>
        <w:t xml:space="preserve"> In any year, the reader must be able to say what the drug is and who receives it, what its important risks are and whether anything changed, and what the sponsor is doing about it (12.4).</w:t>
      </w:r>
    </w:p>
    <w:p>
      <w:pPr>
        <w:pStyle w:val="DSURGuidance"/>
        <w:spacing w:before="60"/>
      </w:pPr>
      <w:r>
        <w:rPr>
          <w:b/>
        </w:rPr>
        <w:t>Model:</w:t>
      </w:r>
      <w:r>
        <w:rPr>
          <w:i/>
        </w:rPr>
        <w:t xml:space="preserve"> This is the [n]th Development Safety Update Report (DSUR) for [drug], a [class] in development for [indication], covering [DD Month YYYY] to [DD Month YYYY]. Since the DIBD, approximately [n] subjects have received [drug] and [n] [placebo/comparator] in the sponsor's trials[, with exposure in [trial] estimated from its randomization ratio] (Section 6). [Drug] is [not approved in any country / approved in [n] countries]. During the period, [what was new or changed, with numbers and denominators] (Section 18). The important risks are [risks], with [new information marked] (Section 19). [Actions taken for safety reasons, including IB and consent changes] (Sections 3 and 4). The anticipated benefit of [drug], supported by [evidence], and its important risks, managed through [measures], give a benefit–risk balance for trial subjects that is [unchanged] since the previous DSUR.</w:t>
      </w:r>
    </w:p>
    <w:p>
      <w:pPr>
        <w:pStyle w:val="DSURGuidance"/>
        <w:spacing w:before="60"/>
      </w:pPr>
      <w:r>
        <w:rPr>
          <w:b/>
        </w:rPr>
        <w:t>Anatomy.</w:t>
      </w:r>
      <w:r>
        <w:rPr>
          <w:i w:val="0"/>
        </w:rPr>
      </w:r>
    </w:p>
    <w:p>
      <w:pPr>
        <w:pStyle w:val="DSURGuidanceList"/>
        <w:tabs>
          <w:tab w:pos="539" w:val="left"/>
        </w:tabs>
      </w:pPr>
      <w:r>
        <w:t>1.</w:t>
        <w:tab/>
        <w:t>One sentence identifying the report number, the drug, its class and indication, and the period; with the drug's mode of action, doses, routes and formulations (title page and Section 1).</w:t>
      </w:r>
    </w:p>
    <w:p>
      <w:pPr>
        <w:pStyle w:val="DSURGuidanceList"/>
        <w:tabs>
          <w:tab w:pos="539" w:val="left"/>
        </w:tabs>
      </w:pPr>
      <w:r>
        <w:t>2.</w:t>
        <w:tab/>
        <w:t>One sentence on estimated cumulative exposure of trial subjects, by arm where known, reusing the exposure sentence from Section 6 word for word (5.10).</w:t>
      </w:r>
    </w:p>
    <w:p>
      <w:pPr>
        <w:pStyle w:val="DSURGuidanceList"/>
        <w:tabs>
          <w:tab w:pos="539" w:val="left"/>
        </w:tabs>
      </w:pPr>
      <w:r>
        <w:t>3.</w:t>
        <w:tab/>
        <w:t>One sentence on marketing status: approved or not, and in how many countries (Section 2).</w:t>
      </w:r>
    </w:p>
    <w:p>
      <w:pPr>
        <w:pStyle w:val="DSURGuidanceList"/>
        <w:tabs>
          <w:tab w:pos="539" w:val="left"/>
        </w:tabs>
      </w:pPr>
      <w:r>
        <w:t>4.</w:t>
        <w:tab/>
        <w:t>A short paragraph on the overall safety assessment: what was new, what changed, and the conclusion, with numbers given with their denominators (Section 18).</w:t>
      </w:r>
    </w:p>
    <w:p>
      <w:pPr>
        <w:pStyle w:val="DSURGuidanceList"/>
        <w:tabs>
          <w:tab w:pos="539" w:val="left"/>
        </w:tabs>
      </w:pPr>
      <w:r>
        <w:t>5.</w:t>
        <w:tab/>
        <w:t>A bulleted list of important risks, marking new or changed ones (Section 19).</w:t>
      </w:r>
    </w:p>
    <w:p>
      <w:pPr>
        <w:pStyle w:val="DSURGuidanceList"/>
        <w:tabs>
          <w:tab w:pos="539" w:val="left"/>
        </w:tabs>
      </w:pPr>
      <w:r>
        <w:t>6.</w:t>
        <w:tab/>
        <w:t>A short list of actions taken for safety reasons, including significant IB changes, with consent-form changes stated explicitly and the oversight named, such as the DMC and its recommendations (Sections 3, 4 and 17; 12.8).</w:t>
      </w:r>
    </w:p>
    <w:p>
      <w:pPr>
        <w:pStyle w:val="DSURGuidanceList"/>
        <w:tabs>
          <w:tab w:pos="539" w:val="left"/>
        </w:tabs>
      </w:pPr>
      <w:r>
        <w:t>7.</w:t>
        <w:tab/>
        <w:t>The conclusion, including the benefit–risk statement, written for trial participants rather than future patients (Sections 18.2 and 20; 12.8).</w:t>
      </w:r>
    </w:p>
    <w:p>
      <w:pPr>
        <w:pStyle w:val="DSURGuidance"/>
      </w:pPr>
      <w:r>
        <w:rPr>
          <w:i w:val="0"/>
        </w:rPr>
        <w:t>The whole runs one to two pages (12.4). Define every abbreviation at first use, here and again in the body (13.9, 13.11), and use plain words a committee's lay members can follow (12.8).</w:t>
      </w:r>
    </w:p>
    <w:p>
      <w:pPr>
        <w:pStyle w:val="DSURGuidance"/>
        <w:spacing w:before="60"/>
      </w:pPr>
      <w:r>
        <w:rPr>
          <w:b/>
        </w:rPr>
        <w:t>Level of detail.</w:t>
      </w:r>
      <w:r>
        <w:rPr>
          <w:i w:val="0"/>
        </w:rPr>
      </w:r>
    </w:p>
    <w:p>
      <w:pPr>
        <w:pStyle w:val="DSURGuidanceList"/>
        <w:tabs>
          <w:tab w:pos="539" w:val="left"/>
        </w:tabs>
      </w:pPr>
      <w:r>
        <w:t>•</w:t>
        <w:tab/>
      </w:r>
      <w:r>
        <w:rPr>
          <w:b/>
        </w:rPr>
        <w:t>Early development (few subjects):</w:t>
      </w:r>
      <w:r>
        <w:t xml:space="preserve"> Give exposure by dose level, name the dose-limiting toxicities and the actions they led to, and state the basis of each important risk, for example "potential, from rat studies"; Appendix E's outline for ONK-417's first DSUR shows the pattern (Appendix E, Chapter 12).</w:t>
      </w:r>
    </w:p>
    <w:p>
      <w:pPr>
        <w:pStyle w:val="DSURGuidanceList"/>
        <w:tabs>
          <w:tab w:pos="539" w:val="left"/>
        </w:tabs>
      </w:pPr>
      <w:r>
        <w:t>•</w:t>
        <w:tab/>
      </w:r>
      <w:r>
        <w:rPr>
          <w:b/>
        </w:rPr>
        <w:t>Late development (large, often blinded trials):</w:t>
      </w:r>
      <w:r>
        <w:t xml:space="preserve"> Give rates with their denominators and references so the reader can judge an imbalance without opening Section 18, flag blinded exposure as estimated, and report a DMC recommendation in full, including any added monitoring (12.6, 17.8).</w:t>
      </w:r>
    </w:p>
    <w:p>
      <w:pPr>
        <w:pStyle w:val="DSURGuidanceList"/>
        <w:tabs>
          <w:tab w:pos="539" w:val="left"/>
        </w:tabs>
      </w:pPr>
      <w:r>
        <w:t>•</w:t>
        <w:tab/>
      </w:r>
      <w:r>
        <w:rPr>
          <w:b/>
        </w:rPr>
        <w:t>Marketed drug:</w:t>
      </w:r>
      <w:r>
        <w:t xml:space="preserve"> The marketing-status sentence gives the number of countries in which the drug is approved, taken from Section 2 (12.4).</w:t>
      </w:r>
    </w:p>
    <w:p>
      <w:pPr>
        <w:pStyle w:val="DSURGuidanceList"/>
        <w:tabs>
          <w:tab w:pos="539" w:val="left"/>
        </w:tabs>
      </w:pPr>
      <w:r>
        <w:t>•</w:t>
        <w:tab/>
      </w:r>
      <w:r>
        <w:rPr>
          <w:b/>
        </w:rPr>
        <w:t>Quiet year:</w:t>
      </w:r>
      <w:r>
        <w:t xml:space="preserve"> Every E2F item still appears. Replace "the safety profile remains acceptable" with its basis, for example that no new important risk emerged and the known risks were consistent in frequency and nature with previous experience (13.7).</w:t>
      </w:r>
    </w:p>
    <w:p>
      <w:pPr>
        <w:pStyle w:val="DSURGuidance"/>
        <w:spacing w:before="60" w:after="120"/>
      </w:pPr>
      <w:r>
        <w:rPr>
          <w:b/>
        </w:rPr>
        <w:t>Ask:</w:t>
      </w:r>
      <w:r>
        <w:rPr>
          <w:i w:val="0"/>
        </w:rPr>
        <w:t xml:space="preserve"> Could an ethics committee understand the program's safety position from this page alone, and is every statement found in the body? (Chapter 12)</w:t>
      </w:r>
    </w:p>
    <w:p>
      <w:pPr>
        <w:pStyle w:val="DSURPlaceholder"/>
      </w:pPr>
      <w:r>
        <w:t>[Executive Summary text.]</w:t>
      </w:r>
    </w:p>
    <w:p>
      <w:pPr>
        <w:pStyle w:val="Heading1"/>
      </w:pPr>
      <w:r>
        <w:t>Table of contents</w:t>
      </w:r>
    </w:p>
    <w:p>
      <w:pPr>
        <w:pStyle w:val="DSURGuidance"/>
        <w:spacing w:before="40"/>
      </w:pPr>
      <w:r>
        <w:rPr>
          <w:i/>
        </w:rPr>
        <w:t>Book: Chapters 7 and 14; E2F §2.7.2</w:t>
      </w:r>
    </w:p>
    <w:p>
      <w:pPr>
        <w:pStyle w:val="DSURGuidance"/>
        <w:spacing w:before="80"/>
      </w:pPr>
      <w:r>
        <w:rPr>
          <w:b/>
          <w:color w:val="5B7FA6"/>
          <w:sz w:val="16"/>
        </w:rPr>
        <w:t>GUIDANCE (DELETE BEFORE SUBMISSION)</w:t>
      </w:r>
    </w:p>
    <w:p>
      <w:pPr>
        <w:pStyle w:val="DSURGuidance"/>
        <w:spacing w:before="60"/>
      </w:pPr>
      <w:r>
        <w:rPr>
          <w:b/>
        </w:rPr>
        <w:t>Logic.</w:t>
      </w:r>
      <w:r>
        <w:rPr>
          <w:i w:val="0"/>
        </w:rPr>
        <w:t xml:space="preserve"> The table of contents shows that the report follows E2F's structure and that every section was considered. E2F expects every section to be present, so a section with nothing to report is listed like any other; a missing heading invites the question of whether anyone looked (7.4).</w:t>
      </w:r>
    </w:p>
    <w:p>
      <w:pPr>
        <w:pStyle w:val="DSURGuidance"/>
        <w:spacing w:before="60"/>
      </w:pPr>
      <w:r>
        <w:rPr>
          <w:b/>
        </w:rPr>
        <w:t>Anatomy.</w:t>
      </w:r>
      <w:r>
        <w:rPr>
          <w:i w:val="0"/>
        </w:rPr>
      </w:r>
    </w:p>
    <w:p>
      <w:pPr>
        <w:pStyle w:val="DSURGuidanceList"/>
        <w:tabs>
          <w:tab w:pos="539" w:val="left"/>
        </w:tabs>
      </w:pPr>
      <w:r>
        <w:t>1.</w:t>
        <w:tab/>
        <w:t>All 20 sections and their subsections, with E2F's headings and numbering, including those with nothing to report.</w:t>
      </w:r>
    </w:p>
    <w:p>
      <w:pPr>
        <w:pStyle w:val="DSURGuidanceList"/>
        <w:tabs>
          <w:tab w:pos="539" w:val="left"/>
        </w:tabs>
      </w:pPr>
      <w:r>
        <w:t>2.</w:t>
        <w:tab/>
        <w:t>The seven appendices in E2F's numbering.</w:t>
      </w:r>
    </w:p>
    <w:p>
      <w:pPr>
        <w:pStyle w:val="DSURGuidanceList"/>
        <w:tabs>
          <w:tab w:pos="539" w:val="left"/>
        </w:tabs>
      </w:pPr>
      <w:r>
        <w:t>3.</w:t>
        <w:tab/>
        <w:t>The regional appendices, as each region requires (Chapter 14).</w:t>
      </w:r>
    </w:p>
    <w:p>
      <w:pPr>
        <w:pStyle w:val="DSURGuidanceList"/>
        <w:tabs>
          <w:tab w:pos="539" w:val="left"/>
        </w:tabs>
      </w:pPr>
      <w:r>
        <w:t>4.</w:t>
        <w:tab/>
        <w:t>In the electronic version, bookmarks for every section and appendix, with working cross-references (14.5).</w:t>
      </w:r>
    </w:p>
    <w:p>
      <w:pPr>
        <w:pStyle w:val="DSURGuidance"/>
        <w:spacing w:before="60" w:after="120"/>
      </w:pPr>
      <w:r>
        <w:rPr>
          <w:b/>
        </w:rPr>
        <w:t>Ask:</w:t>
      </w:r>
      <w:r>
        <w:rPr>
          <w:i w:val="0"/>
        </w:rPr>
        <w:t xml:space="preserve"> Does every section, subsection and appendix appear with E2F's numbering, including those with nothing to report?</w:t>
      </w:r>
    </w:p>
    <w:p>
      <w:r>
        <w:fldChar w:fldCharType="begin" w:dirty="true"/>
        <w:instrText xml:space="preserve">TOC \o "1-2" \h \z \u</w:instrText>
        <w:fldChar w:fldCharType="separate"/>
        <w:t>Right-click here and choose Update Field to build the table of contents.</w:t>
        <w:fldChar w:fldCharType="end"/>
      </w:r>
    </w:p>
    <w:p>
      <w:pPr>
        <w:pStyle w:val="Heading1"/>
      </w:pPr>
      <w:r>
        <w:t>1. Introduction</w:t>
      </w:r>
    </w:p>
    <w:p>
      <w:pPr>
        <w:pStyle w:val="DSURGuidance"/>
        <w:spacing w:before="40"/>
      </w:pPr>
      <w:r>
        <w:rPr>
          <w:i/>
        </w:rPr>
        <w:t>Book: Chapters 2 and 16; E2F §3.1</w:t>
      </w:r>
    </w:p>
    <w:p>
      <w:pPr>
        <w:pStyle w:val="DSURGuidance"/>
        <w:spacing w:before="80"/>
      </w:pPr>
      <w:r>
        <w:rPr>
          <w:b/>
          <w:color w:val="5B7FA6"/>
          <w:sz w:val="16"/>
        </w:rPr>
        <w:t>GUIDANCE (DELETE BEFORE SUBMISSION)</w:t>
      </w:r>
    </w:p>
    <w:p>
      <w:pPr>
        <w:pStyle w:val="DSURGuidance"/>
        <w:spacing w:before="60"/>
      </w:pPr>
      <w:r>
        <w:rPr>
          <w:b/>
        </w:rPr>
        <w:t>Logic.</w:t>
      </w:r>
      <w:r>
        <w:rPr>
          <w:i w:val="0"/>
        </w:rPr>
        <w:t xml:space="preserve"> Section 1 answers the question every later section depends on: what this report covers, what it leaves out and why. It is where the scope decisions recorded at kickoff surface in the text (2.1, 2.6). It feeds the identification lines of the Executive Summary, sets the trials that Sections 5 and 6 must account for, and names the other DSURs that Section 14 summarizes.</w:t>
      </w:r>
    </w:p>
    <w:p>
      <w:pPr>
        <w:pStyle w:val="DSURGuidance"/>
        <w:spacing w:before="60"/>
      </w:pPr>
      <w:r>
        <w:rPr>
          <w:b/>
        </w:rPr>
        <w:t>Message.</w:t>
      </w:r>
      <w:r>
        <w:rPr>
          <w:i w:val="0"/>
        </w:rPr>
        <w:t xml:space="preserve"> A reader who knows nothing about the program can tell what the report covers, the reason for anything missing, and what cannot be concluded as a result (2.3).</w:t>
      </w:r>
    </w:p>
    <w:p>
      <w:pPr>
        <w:pStyle w:val="DSURGuidance"/>
        <w:spacing w:before="60"/>
      </w:pPr>
      <w:r>
        <w:rPr>
          <w:b/>
        </w:rPr>
        <w:t>Model:</w:t>
      </w:r>
      <w:r>
        <w:rPr>
          <w:i/>
        </w:rPr>
        <w:t xml:space="preserve"> This DSUR covers clinical trials of [drug] sponsored by [Sponsor]. Trials in [indication] are sponsored by [Partner] and reported in [Partner]'s own DSUR. Under the agreement with [Partner], [Sponsor] receives [line listings of serious adverse reactions] from [Partner]'s trials but not [exposure data]; findings from those trials are presented in Section 10 without rates, and [Partner]'s DSUR conclusions are summarized in Section 14.</w:t>
      </w:r>
    </w:p>
    <w:p>
      <w:pPr>
        <w:pStyle w:val="DSURGuidance"/>
        <w:spacing w:before="60"/>
      </w:pPr>
      <w:r>
        <w:rPr>
          <w:b/>
        </w:rPr>
        <w:t>Anatomy.</w:t>
      </w:r>
      <w:r>
        <w:rPr>
          <w:i w:val="0"/>
        </w:rPr>
      </w:r>
    </w:p>
    <w:p>
      <w:pPr>
        <w:pStyle w:val="DSURGuidanceList"/>
        <w:tabs>
          <w:tab w:pos="539" w:val="left"/>
        </w:tabs>
      </w:pPr>
      <w:r>
        <w:t>1.</w:t>
        <w:tab/>
        <w:t>The reporting period, the sequence number and the DIBD, or the IBD if synchronized (E2F §3.1).</w:t>
      </w:r>
    </w:p>
    <w:p>
      <w:pPr>
        <w:pStyle w:val="DSURGuidanceList"/>
        <w:tabs>
          <w:tab w:pos="539" w:val="left"/>
        </w:tabs>
      </w:pPr>
      <w:r>
        <w:t>2.</w:t>
        <w:tab/>
        <w:t>The drug: therapeutic class, mode of action, indications and populations under study, doses, formulations and routes.</w:t>
      </w:r>
    </w:p>
    <w:p>
      <w:pPr>
        <w:pStyle w:val="DSURGuidanceList"/>
        <w:tabs>
          <w:tab w:pos="539" w:val="left"/>
        </w:tabs>
      </w:pPr>
      <w:r>
        <w:t>3.</w:t>
        <w:tab/>
        <w:t>The scope: which trials and products the report covers, and the approach to blinded data (16.2).</w:t>
      </w:r>
    </w:p>
    <w:p>
      <w:pPr>
        <w:pStyle w:val="DSURGuidanceList"/>
        <w:tabs>
          <w:tab w:pos="539" w:val="left"/>
        </w:tabs>
      </w:pPr>
      <w:r>
        <w:t>4.</w:t>
        <w:tab/>
        <w:t>The number of DSURs: if the sponsor prepares more than one for the substance, or a partner prepares its own, say so and give the rationale (2.3).</w:t>
      </w:r>
    </w:p>
    <w:p>
      <w:pPr>
        <w:pStyle w:val="DSURGuidanceList"/>
        <w:tabs>
          <w:tab w:pos="539" w:val="left"/>
        </w:tabs>
      </w:pPr>
      <w:r>
        <w:t>5.</w:t>
        <w:tab/>
        <w:t>Any combination-therapy option chosen, with its rationale (2.4).</w:t>
      </w:r>
    </w:p>
    <w:p>
      <w:pPr>
        <w:pStyle w:val="DSURGuidanceList"/>
        <w:tabs>
          <w:tab w:pos="539" w:val="left"/>
        </w:tabs>
      </w:pPr>
      <w:r>
        <w:t>6.</w:t>
        <w:tab/>
        <w:t>Exclusions and data gaps: what is not included, why, and what cannot be concluded as a result (2.3, 2.5).</w:t>
      </w:r>
    </w:p>
    <w:p>
      <w:pPr>
        <w:pStyle w:val="DSURGuidanceList"/>
        <w:tabs>
          <w:tab w:pos="539" w:val="left"/>
        </w:tabs>
      </w:pPr>
      <w:r>
        <w:t>7.</w:t>
        <w:tab/>
        <w:t>Changes of scope during the year, such as a new indication or formulation, a partner, an acquired program, a change of cycle or a change of sponsor (2.7, 16.7, 16.8).</w:t>
      </w:r>
    </w:p>
    <w:p>
      <w:pPr>
        <w:pStyle w:val="DSURGuidance"/>
        <w:spacing w:before="60"/>
      </w:pPr>
      <w:r>
        <w:rPr>
          <w:b/>
        </w:rPr>
        <w:t>Level of detail.</w:t>
      </w:r>
      <w:r>
        <w:rPr>
          <w:i w:val="0"/>
        </w:rPr>
      </w:r>
    </w:p>
    <w:p>
      <w:pPr>
        <w:pStyle w:val="DSURGuidanceList"/>
        <w:tabs>
          <w:tab w:pos="539" w:val="left"/>
        </w:tabs>
      </w:pPr>
      <w:r>
        <w:t>•</w:t>
        <w:tab/>
      </w:r>
      <w:r>
        <w:rPr>
          <w:b/>
        </w:rPr>
        <w:t>Early development (few subjects):</w:t>
      </w:r>
      <w:r>
        <w:t xml:space="preserve"> Scope carries the report. State the DIBD, data lock point, products and trials covered, approach to blinded data and regional commitments in full, because every later DSUR inherits them (16.2).</w:t>
      </w:r>
    </w:p>
    <w:p>
      <w:pPr>
        <w:pStyle w:val="DSURGuidanceList"/>
        <w:tabs>
          <w:tab w:pos="539" w:val="left"/>
        </w:tabs>
      </w:pPr>
      <w:r>
        <w:t>•</w:t>
        <w:tab/>
      </w:r>
      <w:r>
        <w:rPr>
          <w:b/>
        </w:rPr>
        <w:t>Late development (large, often blinded trials):</w:t>
      </w:r>
      <w:r>
        <w:t xml:space="preserve"> As indications, formulations and partners are added, describe each change and the data exchange agreed, in a sentence written when the change happens (2.7).</w:t>
      </w:r>
    </w:p>
    <w:p>
      <w:pPr>
        <w:pStyle w:val="DSURGuidanceList"/>
        <w:tabs>
          <w:tab w:pos="539" w:val="left"/>
        </w:tabs>
      </w:pPr>
      <w:r>
        <w:t>•</w:t>
        <w:tab/>
      </w:r>
      <w:r>
        <w:rPr>
          <w:b/>
        </w:rPr>
        <w:t>Marketed drug:</w:t>
      </w:r>
      <w:r>
        <w:t xml:space="preserve"> If the sponsor synchronizes with the PBRER, explain the change of cycle and the bridge period here (16.7); where historical or acquired data are missing, name the gap (2.5, 2.7).</w:t>
      </w:r>
    </w:p>
    <w:p>
      <w:pPr>
        <w:pStyle w:val="DSURGuidanceList"/>
        <w:tabs>
          <w:tab w:pos="539" w:val="left"/>
        </w:tabs>
      </w:pPr>
      <w:r>
        <w:t>•</w:t>
        <w:tab/>
      </w:r>
      <w:r>
        <w:rPr>
          <w:b/>
        </w:rPr>
        <w:t>First DSUR / final DSUR:</w:t>
      </w:r>
      <w:r>
        <w:t xml:space="preserve"> In a final DSUR, repeat the title-page statement at the start: final for which region, where development continues, and where the remaining subjects' follow-up will be reported (16.3). The first DSUR under a new sponsor says that sponsorship changed and what data did not transfer (16.8).</w:t>
      </w:r>
    </w:p>
    <w:p>
      <w:pPr>
        <w:pStyle w:val="DSURGuidanceList"/>
        <w:tabs>
          <w:tab w:pos="539" w:val="left"/>
        </w:tabs>
      </w:pPr>
      <w:r>
        <w:t>•</w:t>
        <w:tab/>
      </w:r>
      <w:r>
        <w:rPr>
          <w:b/>
        </w:rPr>
        <w:t>Quiet year:</w:t>
      </w:r>
      <w:r>
        <w:t xml:space="preserve"> Keep the same DIBD and combination choice as last year, or explain why they changed (2.2, 2.4).</w:t>
      </w:r>
    </w:p>
    <w:p>
      <w:pPr>
        <w:pStyle w:val="DSURGuidance"/>
        <w:spacing w:before="60" w:after="120"/>
      </w:pPr>
      <w:r>
        <w:rPr>
          <w:b/>
        </w:rPr>
        <w:t>Ask:</w:t>
      </w:r>
      <w:r>
        <w:rPr>
          <w:i w:val="0"/>
        </w:rPr>
        <w:t xml:space="preserve"> Could a reader who knows nothing about the program tell what this report covers and what it does not? (Chapter 2)</w:t>
      </w:r>
    </w:p>
    <w:p>
      <w:pPr>
        <w:pStyle w:val="DSURPlaceholder"/>
      </w:pPr>
      <w:r>
        <w:t>[Section 1 text.]</w:t>
      </w:r>
    </w:p>
    <w:p>
      <w:pPr>
        <w:pStyle w:val="Heading1"/>
      </w:pPr>
      <w:r>
        <w:t>2. Worldwide marketing approval status</w:t>
      </w:r>
    </w:p>
    <w:p>
      <w:pPr>
        <w:pStyle w:val="DSURGuidance"/>
        <w:spacing w:before="40"/>
      </w:pPr>
      <w:r>
        <w:rPr>
          <w:i/>
        </w:rPr>
        <w:t>Book: Chapters 2, 4 and 16; E2F §3.2</w:t>
      </w:r>
    </w:p>
    <w:p>
      <w:pPr>
        <w:pStyle w:val="DSURGuidance"/>
        <w:spacing w:before="80"/>
      </w:pPr>
      <w:r>
        <w:rPr>
          <w:b/>
          <w:color w:val="5B7FA6"/>
          <w:sz w:val="16"/>
        </w:rPr>
        <w:t>GUIDANCE (DELETE BEFORE SUBMISSION)</w:t>
      </w:r>
    </w:p>
    <w:p>
      <w:pPr>
        <w:pStyle w:val="DSURGuidance"/>
        <w:spacing w:before="60"/>
      </w:pPr>
      <w:r>
        <w:rPr>
          <w:b/>
        </w:rPr>
        <w:t>Logic.</w:t>
      </w:r>
      <w:r>
        <w:rPr>
          <w:i w:val="0"/>
        </w:rPr>
        <w:t xml:space="preserve"> Section 2 tells the reader whether a marketed product exists. The answer decides which reference safety information is chosen (IB or label), whether Sections 6.2 and 11 carry content, and how the DSUR's relationship with the PBRER must be planned (2.7). It feeds the marketing-status sentence of the Executive Summary.</w:t>
      </w:r>
    </w:p>
    <w:p>
      <w:pPr>
        <w:pStyle w:val="DSURGuidance"/>
        <w:spacing w:before="60"/>
      </w:pPr>
      <w:r>
        <w:rPr>
          <w:b/>
        </w:rPr>
        <w:t>Message.</w:t>
      </w:r>
      <w:r>
        <w:rPr>
          <w:i w:val="0"/>
        </w:rPr>
        <w:t xml:space="preserve"> The reader knows whether [drug] is approved anywhere and, if so, since when, for what, at what doses and where.</w:t>
      </w:r>
    </w:p>
    <w:p>
      <w:pPr>
        <w:pStyle w:val="DSURGuidance"/>
        <w:spacing w:before="60"/>
      </w:pPr>
      <w:r>
        <w:rPr>
          <w:b/>
        </w:rPr>
        <w:t>Model:</w:t>
      </w:r>
      <w:r>
        <w:rPr>
          <w:i/>
        </w:rPr>
        <w:t xml:space="preserve"> [Drug] was first approved on [DD Month YYYY] in [country] for [indication]. As of the data lock point it is approved in [n] countries for [indications], at [approved doses].</w:t>
      </w:r>
    </w:p>
    <w:p>
      <w:pPr>
        <w:pStyle w:val="DSURGuidance"/>
        <w:spacing w:before="60"/>
      </w:pPr>
      <w:r>
        <w:rPr>
          <w:b/>
        </w:rPr>
        <w:t>Anatomy.</w:t>
      </w:r>
      <w:r>
        <w:rPr>
          <w:i w:val="0"/>
        </w:rPr>
      </w:r>
    </w:p>
    <w:p>
      <w:pPr>
        <w:pStyle w:val="DSURGuidanceList"/>
        <w:tabs>
          <w:tab w:pos="539" w:val="left"/>
        </w:tabs>
      </w:pPr>
      <w:r>
        <w:t>1.</w:t>
        <w:tab/>
        <w:t>The date of first approval.</w:t>
      </w:r>
    </w:p>
    <w:p>
      <w:pPr>
        <w:pStyle w:val="DSURGuidanceList"/>
        <w:tabs>
          <w:tab w:pos="539" w:val="left"/>
        </w:tabs>
      </w:pPr>
      <w:r>
        <w:t>2.</w:t>
        <w:tab/>
        <w:t>The approved indications.</w:t>
      </w:r>
    </w:p>
    <w:p>
      <w:pPr>
        <w:pStyle w:val="DSURGuidanceList"/>
        <w:tabs>
          <w:tab w:pos="539" w:val="left"/>
        </w:tabs>
      </w:pPr>
      <w:r>
        <w:t>3.</w:t>
        <w:tab/>
        <w:t>The approved doses.</w:t>
      </w:r>
    </w:p>
    <w:p>
      <w:pPr>
        <w:pStyle w:val="DSURGuidanceList"/>
        <w:tabs>
          <w:tab w:pos="539" w:val="left"/>
        </w:tabs>
      </w:pPr>
      <w:r>
        <w:t>4.</w:t>
        <w:tab/>
        <w:t>The countries in which the drug is approved, as a brief narrative, not pages of country tables (2.9).</w:t>
      </w:r>
    </w:p>
    <w:p>
      <w:pPr>
        <w:pStyle w:val="DSURGuidance"/>
        <w:spacing w:before="60"/>
      </w:pPr>
      <w:r>
        <w:rPr>
          <w:b/>
        </w:rPr>
        <w:t>Level of detail.</w:t>
      </w:r>
      <w:r>
        <w:rPr>
          <w:i w:val="0"/>
        </w:rPr>
      </w:r>
    </w:p>
    <w:p>
      <w:pPr>
        <w:pStyle w:val="DSURGuidanceList"/>
        <w:tabs>
          <w:tab w:pos="539" w:val="left"/>
        </w:tabs>
      </w:pPr>
      <w:r>
        <w:t>•</w:t>
        <w:tab/>
      </w:r>
      <w:r>
        <w:rPr>
          <w:b/>
        </w:rPr>
        <w:t>Early development (few subjects):</w:t>
      </w:r>
      <w:r>
        <w:t xml:space="preserve"> One sentence stating that the drug is not approved in any country (Appendix E, Chapter 16).</w:t>
      </w:r>
    </w:p>
    <w:p>
      <w:pPr>
        <w:pStyle w:val="DSURGuidanceList"/>
        <w:tabs>
          <w:tab w:pos="539" w:val="left"/>
        </w:tabs>
      </w:pPr>
      <w:r>
        <w:t>•</w:t>
        <w:tab/>
      </w:r>
      <w:r>
        <w:rPr>
          <w:b/>
        </w:rPr>
        <w:t>Late development (large, often blinded trials):</w:t>
      </w:r>
      <w:r>
        <w:t xml:space="preserve"> As early.</w:t>
      </w:r>
    </w:p>
    <w:p>
      <w:pPr>
        <w:pStyle w:val="DSURGuidanceList"/>
        <w:tabs>
          <w:tab w:pos="539" w:val="left"/>
        </w:tabs>
      </w:pPr>
      <w:r>
        <w:t>•</w:t>
        <w:tab/>
      </w:r>
      <w:r>
        <w:rPr>
          <w:b/>
        </w:rPr>
        <w:t>Marketed drug:</w:t>
      </w:r>
      <w:r>
        <w:t xml:space="preserve"> A brief narrative of the four E2F elements; the approval also triggers decisions on the RSI, Section 6.2, Section 11 and the PBRER relationship, which those sections record (2.7, 2.9).</w:t>
      </w:r>
    </w:p>
    <w:p>
      <w:pPr>
        <w:pStyle w:val="DSURGuidance"/>
        <w:spacing w:before="60"/>
      </w:pPr>
      <w:r>
        <w:rPr>
          <w:b/>
        </w:rPr>
        <w:t>Ask:</w:t>
      </w:r>
      <w:r>
        <w:rPr>
          <w:i w:val="0"/>
        </w:rPr>
        <w:t xml:space="preserve"> If the drug is marketed, does the report use the right reference for expectedness and draw on the PBRER in Section 11? (Chapters 4 and 16)</w:t>
      </w:r>
    </w:p>
    <w:p>
      <w:pPr>
        <w:pStyle w:val="DSURGuidance"/>
        <w:spacing w:before="60" w:after="120"/>
      </w:pPr>
      <w:r>
        <w:rPr>
          <w:b/>
        </w:rPr>
        <w:t>If nothing to report:</w:t>
      </w:r>
      <w:r>
        <w:rPr>
          <w:i w:val="0"/>
        </w:rPr>
        <w:t xml:space="preserve"> [Drug] has not received marketing approval in any country as of the data lock point.</w:t>
      </w:r>
    </w:p>
    <w:p>
      <w:pPr>
        <w:pStyle w:val="DSURPlaceholder"/>
      </w:pPr>
      <w:r>
        <w:t>[Section 2 text.]</w:t>
      </w:r>
    </w:p>
    <w:p>
      <w:pPr>
        <w:pStyle w:val="Heading1"/>
      </w:pPr>
      <w:r>
        <w:t>3. Actions taken in the reporting period for safety reasons</w:t>
      </w:r>
    </w:p>
    <w:p>
      <w:pPr>
        <w:pStyle w:val="DSURGuidance"/>
        <w:spacing w:before="40"/>
      </w:pPr>
      <w:r>
        <w:rPr>
          <w:i/>
        </w:rPr>
        <w:t>Book: Chapter 8; E2F §3.3</w:t>
      </w:r>
    </w:p>
    <w:p>
      <w:pPr>
        <w:pStyle w:val="DSURGuidance"/>
        <w:spacing w:before="80"/>
      </w:pPr>
      <w:r>
        <w:rPr>
          <w:b/>
          <w:color w:val="5B7FA6"/>
          <w:sz w:val="16"/>
        </w:rPr>
        <w:t>GUIDANCE (DELETE BEFORE SUBMISSION)</w:t>
      </w:r>
    </w:p>
    <w:p>
      <w:pPr>
        <w:pStyle w:val="DSURGuidance"/>
        <w:spacing w:before="60"/>
      </w:pPr>
      <w:r>
        <w:rPr>
          <w:b/>
        </w:rPr>
        <w:t>Logic.</w:t>
      </w:r>
      <w:r>
        <w:rPr>
          <w:i w:val="0"/>
        </w:rPr>
        <w:t xml:space="preserve"> This section answers one question: what did the sponsor, regulators, data monitoring committees and ethics committees do about safety this year, and why? It is a record of decisions, not an argument, and it puts in one place actions that would otherwise be scattered across Sections 8 and 18 or left in regulatory correspondence (8.9). Most of its sources sit outside the safety database, in regulatory correspondence, investigator letters and DMC recommendations, which regulators already hold (8.4; Chapter 8, take-home messages); each item is explained in Section 18, cross-referenced from the actions listed in Section 20, and summarized in the Executive Summary (10.3, 12.3, 12.4).</w:t>
      </w:r>
    </w:p>
    <w:p>
      <w:pPr>
        <w:pStyle w:val="DSURGuidance"/>
        <w:spacing w:before="60"/>
      </w:pPr>
      <w:r>
        <w:rPr>
          <w:b/>
        </w:rPr>
        <w:t>Message.</w:t>
      </w:r>
      <w:r>
        <w:rPr>
          <w:i w:val="0"/>
        </w:rPr>
        <w:t xml:space="preserve"> Every significant action taken for safety reasons in the period is listed with who took it, why, for which trials and where it stands now, and every earlier action still open has its update.</w:t>
      </w:r>
    </w:p>
    <w:p>
      <w:pPr>
        <w:pStyle w:val="DSURGuidance"/>
        <w:spacing w:before="60"/>
      </w:pPr>
      <w:r>
        <w:rPr>
          <w:b/>
        </w:rPr>
        <w:t>Model:</w:t>
      </w:r>
      <w:r>
        <w:rPr>
          <w:i/>
        </w:rPr>
        <w:t xml:space="preserve"> In [month year], [the ethics committee / regulatory authority / sponsor] for [trial] required [action], after [reason] (Section [n]). The protocol was amended in [month year] for all sites[, and the requirement was extended to [other trials]]. [The underlying finding] is evaluated in Section 18.1.</w:t>
      </w:r>
    </w:p>
    <w:p>
      <w:pPr>
        <w:pStyle w:val="DSURGuidance"/>
        <w:spacing w:before="60"/>
      </w:pPr>
      <w:r>
        <w:rPr>
          <w:b/>
        </w:rPr>
        <w:t>Anatomy.</w:t>
      </w:r>
      <w:r>
        <w:rPr>
          <w:i w:val="0"/>
        </w:rPr>
      </w:r>
    </w:p>
    <w:p>
      <w:pPr>
        <w:pStyle w:val="DSURGuidanceList"/>
        <w:tabs>
          <w:tab w:pos="539" w:val="left"/>
        </w:tabs>
      </w:pPr>
      <w:r>
        <w:t>1.</w:t>
        <w:tab/>
        <w:t>New actions in the period, each answering six questions: what was done, by whom, when, why, for which trials, and its current status (8.3). Apply the significance test: an action counts if it changed whether a trial proceeds, who is enrolled, what dose subjects receive, how they are monitored or what they are told; administrative amendments do not (8.2). Use the E2F examples as a checklist: refusal to authorize a trial; suspension or early termination; recall of the investigational drug or a comparator; failure to obtain marketing approval, including withdrawal of an application; protocol changes such as dose or eligibility changes, more intensive monitoring or shorter treatment; restrictions on population or indication; consent changes; formulation changes; special reporting requirements; and plans for new studies to address safety issues. For a marketed drug, add the E2F market examples listed in 8.1 (8.1; E2F §3.3).</w:t>
      </w:r>
    </w:p>
    <w:p>
      <w:pPr>
        <w:pStyle w:val="DSURGuidanceList"/>
        <w:tabs>
          <w:tab w:pos="539" w:val="left"/>
        </w:tabs>
      </w:pPr>
      <w:r>
        <w:t>2.</w:t>
        <w:tab/>
        <w:t>Communications to investigators and ethics committees: date, audience, content in one sentence, reason and trials affected. Where many routine communications go out, such as periodic SUSAR line listings, one sentence describing the practice is enough (8.8).</w:t>
      </w:r>
    </w:p>
    <w:p>
      <w:pPr>
        <w:pStyle w:val="DSURGuidanceList"/>
        <w:tabs>
          <w:tab w:pos="539" w:val="left"/>
        </w:tabs>
      </w:pPr>
      <w:r>
        <w:t>3.</w:t>
        <w:tab/>
        <w:t>Updates to actions reported in earlier DSURs, such as a suspension lifted or a pending amendment approved. Each update refers to the original entry and gives only the change (8.6).</w:t>
      </w:r>
    </w:p>
    <w:p>
      <w:pPr>
        <w:pStyle w:val="DSURGuidanceList"/>
        <w:tabs>
          <w:tab w:pos="539" w:val="left"/>
        </w:tabs>
      </w:pPr>
      <w:r>
        <w:t>4.</w:t>
        <w:tab/>
        <w:t>Regulatory requests that limit current or future development, summarized here, with the cumulative table (date, authority, request, trials or programs affected, sponsor response and status) in Appendix 2. Closed requests stay in the table with their resolution (8.4).</w:t>
      </w:r>
    </w:p>
    <w:p>
      <w:pPr>
        <w:pStyle w:val="DSURGuidanceList"/>
        <w:tabs>
          <w:tab w:pos="539" w:val="left"/>
        </w:tabs>
      </w:pPr>
      <w:r>
        <w:t>5.</w:t>
        <w:tab/>
        <w:t>Cross-references: an IB change goes in Section 4, the protocol amendment it prompted goes here, and each entry refers to the other (8.2). Give the reason once and point to the section that holds the data; leave the explanation of the finding to Section 18 (8.3, 8.7).</w:t>
      </w:r>
    </w:p>
    <w:p>
      <w:pPr>
        <w:pStyle w:val="DSURGuidance"/>
        <w:spacing w:before="60"/>
      </w:pPr>
      <w:r>
        <w:rPr>
          <w:b/>
        </w:rPr>
        <w:t>Level of detail.</w:t>
      </w:r>
      <w:r>
        <w:rPr>
          <w:i w:val="0"/>
        </w:rPr>
      </w:r>
    </w:p>
    <w:p>
      <w:pPr>
        <w:pStyle w:val="DSURGuidanceList"/>
        <w:tabs>
          <w:tab w:pos="539" w:val="left"/>
        </w:tabs>
      </w:pPr>
      <w:r>
        <w:t>•</w:t>
        <w:tab/>
      </w:r>
      <w:r>
        <w:rPr>
          <w:b/>
        </w:rPr>
        <w:t>Early development (few subjects):</w:t>
      </w:r>
      <w:r>
        <w:t xml:space="preserve"> Section 3 is one of the sections that carries a first-in-human report: dose-escalation decisions, monitoring amendments and regulator requests on dose, each as a row in a table (8.3, 16.2). A table works when there are several actions; a short paragraph works for one or two (8.3).</w:t>
      </w:r>
    </w:p>
    <w:p>
      <w:pPr>
        <w:pStyle w:val="DSURGuidanceList"/>
        <w:tabs>
          <w:tab w:pos="539" w:val="left"/>
        </w:tabs>
      </w:pPr>
      <w:r>
        <w:t>•</w:t>
        <w:tab/>
      </w:r>
      <w:r>
        <w:rPr>
          <w:b/>
        </w:rPr>
        <w:t>Late development (large, often blinded trials):</w:t>
      </w:r>
      <w:r>
        <w:t xml:space="preserve"> Expect DMC recommendations, consent revisions with the date ethics committee approval was obtained and how subjects were reconsented, and urgent safety measures with what followed them (8.3, 8.6, 8.8).</w:t>
      </w:r>
    </w:p>
    <w:p>
      <w:pPr>
        <w:pStyle w:val="DSURGuidanceList"/>
        <w:tabs>
          <w:tab w:pos="539" w:val="left"/>
        </w:tabs>
      </w:pPr>
      <w:r>
        <w:t>•</w:t>
        <w:tab/>
      </w:r>
      <w:r>
        <w:rPr>
          <w:b/>
        </w:rPr>
        <w:t>Marketed drug:</w:t>
      </w:r>
      <w:r>
        <w:t xml:space="preserve"> Actions come from the market and from the trials; keep both in one table so the reader sees that the sponsor connected them, give the reason once and refer to Section 11 for the data (8.7).</w:t>
      </w:r>
    </w:p>
    <w:p>
      <w:pPr>
        <w:pStyle w:val="DSURGuidanceList"/>
        <w:tabs>
          <w:tab w:pos="539" w:val="left"/>
        </w:tabs>
      </w:pPr>
      <w:r>
        <w:t>•</w:t>
        <w:tab/>
      </w:r>
      <w:r>
        <w:rPr>
          <w:b/>
        </w:rPr>
        <w:t>Quiet year:</w:t>
      </w:r>
      <w:r>
        <w:t xml:space="preserve"> The section still carries a one-line update for each open action and the current status of each request in Appendix 2 (8.6). A trial on hold is reported every year until the hold ends, with what was stopped, when, why, by whom and what has been done since (8.6, 16.4).</w:t>
      </w:r>
    </w:p>
    <w:p>
      <w:pPr>
        <w:pStyle w:val="DSURGuidance"/>
        <w:spacing w:before="60"/>
      </w:pPr>
      <w:r>
        <w:rPr>
          <w:b/>
        </w:rPr>
        <w:t>Ask:</w:t>
      </w:r>
      <w:r>
        <w:rPr>
          <w:i w:val="0"/>
        </w:rPr>
        <w:t xml:space="preserve"> Is every action given its reason, and is anything I know about missing? (Chapter 8)</w:t>
      </w:r>
    </w:p>
    <w:p>
      <w:pPr>
        <w:pStyle w:val="DSURGuidance"/>
        <w:spacing w:before="60" w:after="120"/>
      </w:pPr>
      <w:r>
        <w:rPr>
          <w:b/>
        </w:rPr>
        <w:t>If nothing to report:</w:t>
      </w:r>
      <w:r>
        <w:rPr>
          <w:i w:val="0"/>
        </w:rPr>
        <w:t xml:space="preserve"> No actions were taken for safety reasons during the reporting period by the sponsor, regulatory authorities, data monitoring committees or ethics committees.</w:t>
      </w:r>
    </w:p>
    <w:p>
      <w:pPr>
        <w:pStyle w:val="DSURPlaceholder"/>
      </w:pPr>
      <w:r>
        <w:t>[Section 3 text.]</w:t>
      </w:r>
    </w:p>
    <w:p>
      <w:pPr>
        <w:pStyle w:val="Heading1"/>
      </w:pPr>
      <w:r>
        <w:t>4. Changes to reference safety information</w:t>
      </w:r>
    </w:p>
    <w:p>
      <w:pPr>
        <w:pStyle w:val="DSURGuidance"/>
        <w:spacing w:before="40"/>
      </w:pPr>
      <w:r>
        <w:rPr>
          <w:i/>
        </w:rPr>
        <w:t>Book: Chapter 4; E2F §3.4</w:t>
      </w:r>
    </w:p>
    <w:p>
      <w:pPr>
        <w:pStyle w:val="DSURGuidance"/>
        <w:spacing w:before="80"/>
      </w:pPr>
      <w:r>
        <w:rPr>
          <w:b/>
          <w:color w:val="5B7FA6"/>
          <w:sz w:val="16"/>
        </w:rPr>
        <w:t>GUIDANCE (DELETE BEFORE SUBMISSION)</w:t>
      </w:r>
    </w:p>
    <w:p>
      <w:pPr>
        <w:pStyle w:val="DSURGuidance"/>
        <w:spacing w:before="60"/>
      </w:pPr>
      <w:r>
        <w:rPr>
          <w:b/>
        </w:rPr>
        <w:t>Logic.</w:t>
      </w:r>
      <w:r>
        <w:rPr>
          <w:i w:val="0"/>
        </w:rPr>
        <w:t xml:space="preserve"> This section answers whether the standard of expectedness changed during the year. A revision made during the period is a finding, not a new reference: it is reported here, explained in Section 18, and becomes the RSI only for the next DSUR (4.2). It draws on the IB version log; it is cross-referenced from Section 3 when the change prompted a protocol amendment, and it moves together with Sections 18 and 19 when a risk is added or reclassified (8.2, 11.3).</w:t>
      </w:r>
    </w:p>
    <w:p>
      <w:pPr>
        <w:pStyle w:val="DSURGuidance"/>
        <w:spacing w:before="60"/>
      </w:pPr>
      <w:r>
        <w:rPr>
          <w:b/>
        </w:rPr>
        <w:t>Message.</w:t>
      </w:r>
      <w:r>
        <w:rPr>
          <w:i w:val="0"/>
        </w:rPr>
        <w:t xml:space="preserve"> The reader learns which significant safety changes were made to the reference safety information in the period, what prompted each, and where the data behind it are presented and evaluated.</w:t>
      </w:r>
    </w:p>
    <w:p>
      <w:pPr>
        <w:pStyle w:val="DSURGuidance"/>
        <w:spacing w:before="60"/>
      </w:pPr>
      <w:r>
        <w:rPr>
          <w:b/>
        </w:rPr>
        <w:t>Model:</w:t>
      </w:r>
      <w:r>
        <w:rPr>
          <w:i/>
        </w:rPr>
        <w:t xml:space="preserve"> IB Edition [n] ([date]) revised Section [n], [heading], to [add / change] [reaction, warning or criterion], based on [evidence] (Section [8.x / 12]). [The revision adds [monitoring / exclusion] (Section 3).] The data are evaluated in Section 18.1 [and the risk is added to Section 19]. Edition [n] [has been submitted to the concerned authorities and is not attached / is attached as Appendix 1].</w:t>
      </w:r>
    </w:p>
    <w:p>
      <w:pPr>
        <w:pStyle w:val="DSURGuidance"/>
        <w:spacing w:before="60"/>
      </w:pPr>
      <w:r>
        <w:rPr>
          <w:b/>
        </w:rPr>
        <w:t>Anatomy.</w:t>
      </w:r>
      <w:r>
        <w:rPr>
          <w:i w:val="0"/>
        </w:rPr>
      </w:r>
    </w:p>
    <w:p>
      <w:pPr>
        <w:pStyle w:val="DSURGuidanceList"/>
        <w:tabs>
          <w:tab w:pos="539" w:val="left"/>
        </w:tabs>
      </w:pPr>
      <w:r>
        <w:t>1.</w:t>
        <w:tab/>
        <w:t>One entry for each significant safety-related change during the period: new or changed exclusion criteria, contraindications, warnings, precautions, serious adverse reactions, adverse events of special interest, interactions and important nonclinical findings (E2F §3.4). Each entry names the edition, its approval date and the IB section changed, and states the basis in a clause (4.4).</w:t>
      </w:r>
    </w:p>
    <w:p>
      <w:pPr>
        <w:pStyle w:val="DSURGuidanceList"/>
        <w:tabs>
          <w:tab w:pos="539" w:val="left"/>
        </w:tabs>
      </w:pPr>
      <w:r>
        <w:t>2.</w:t>
        <w:tab/>
        <w:t>Cross-references to the sections that present the underlying data and to Section 18.1, where they are evaluated; the detail belongs there, not here (4.1). Where a protocol amendment followed, refer to Section 3 (8.2).</w:t>
      </w:r>
    </w:p>
    <w:p>
      <w:pPr>
        <w:pStyle w:val="DSURGuidanceList"/>
        <w:tabs>
          <w:tab w:pos="539" w:val="left"/>
        </w:tabs>
      </w:pPr>
      <w:r>
        <w:t>3.</w:t>
        <w:tab/>
        <w:t>Whether the revised IB has been submitted to the authority; if not, attach it (E2F §2.6 and §3.4; 4.1).</w:t>
      </w:r>
    </w:p>
    <w:p>
      <w:pPr>
        <w:pStyle w:val="DSURGuidance"/>
      </w:pPr>
      <w:r>
        <w:rPr>
          <w:i w:val="0"/>
        </w:rPr>
        <w:t>Leave out editorial changes: listed beside the safety change, they bury it (4.10). The explanation of how a mid-period revision affects expectedness in this report belongs in Section 7.1, not here (4.9).</w:t>
      </w:r>
    </w:p>
    <w:p>
      <w:pPr>
        <w:pStyle w:val="DSURGuidance"/>
        <w:spacing w:before="60"/>
      </w:pPr>
      <w:r>
        <w:rPr>
          <w:b/>
        </w:rPr>
        <w:t>Level of detail.</w:t>
      </w:r>
      <w:r>
        <w:rPr>
          <w:i w:val="0"/>
        </w:rPr>
      </w:r>
    </w:p>
    <w:p>
      <w:pPr>
        <w:pStyle w:val="DSURGuidanceList"/>
        <w:tabs>
          <w:tab w:pos="539" w:val="left"/>
        </w:tabs>
      </w:pPr>
      <w:r>
        <w:t>•</w:t>
        <w:tab/>
      </w:r>
      <w:r>
        <w:rPr>
          <w:b/>
        </w:rPr>
        <w:t>Early development (few subjects):</w:t>
      </w:r>
      <w:r>
        <w:t xml:space="preserve"> In a first DSUR, if the first IB was revised during the year, describe the change and the reason (16.2); if it was not, one sentence (Appendix E, Chapter 16).</w:t>
      </w:r>
    </w:p>
    <w:p>
      <w:pPr>
        <w:pStyle w:val="DSURGuidanceList"/>
        <w:tabs>
          <w:tab w:pos="539" w:val="left"/>
        </w:tabs>
      </w:pPr>
      <w:r>
        <w:t>•</w:t>
        <w:tab/>
      </w:r>
      <w:r>
        <w:rPr>
          <w:b/>
        </w:rPr>
        <w:t>Late development (large, often blinded trials):</w:t>
      </w:r>
      <w:r>
        <w:t xml:space="preserve"> A short entry per change, as in Case B's sepsis entry: what changed, on what evidence, where the data are discussed, and whether the edition is attached (4.4).</w:t>
      </w:r>
    </w:p>
    <w:p>
      <w:pPr>
        <w:pStyle w:val="DSURGuidanceList"/>
        <w:tabs>
          <w:tab w:pos="539" w:val="left"/>
        </w:tabs>
      </w:pPr>
      <w:r>
        <w:t>•</w:t>
        <w:tab/>
      </w:r>
      <w:r>
        <w:rPr>
          <w:b/>
        </w:rPr>
        <w:t>Marketed drug:</w:t>
      </w:r>
      <w:r>
        <w:t xml:space="preserve"> If the label is the RSI, safety-related label changes go here; if the development IB is the RSI, only IB changes go here and the label change stays in Sections 3 and 11 (8.7).</w:t>
      </w:r>
    </w:p>
    <w:p>
      <w:pPr>
        <w:pStyle w:val="DSURGuidanceList"/>
        <w:tabs>
          <w:tab w:pos="539" w:val="left"/>
        </w:tabs>
      </w:pPr>
      <w:r>
        <w:t>•</w:t>
        <w:tab/>
      </w:r>
      <w:r>
        <w:rPr>
          <w:b/>
        </w:rPr>
        <w:t>Quiet year:</w:t>
      </w:r>
      <w:r>
        <w:t xml:space="preserve"> One sentence stating that nothing changed and naming the current edition.</w:t>
      </w:r>
    </w:p>
    <w:p>
      <w:pPr>
        <w:pStyle w:val="DSURGuidance"/>
        <w:spacing w:before="60"/>
      </w:pPr>
      <w:r>
        <w:rPr>
          <w:b/>
        </w:rPr>
        <w:t>Ask:</w:t>
      </w:r>
      <w:r>
        <w:rPr>
          <w:i w:val="0"/>
        </w:rPr>
        <w:t xml:space="preserve"> Is every change here also reflected where the data are discussed, and is the RSI for this report still the edition named in Section 7.1? (Chapter 4)</w:t>
      </w:r>
    </w:p>
    <w:p>
      <w:pPr>
        <w:pStyle w:val="DSURGuidance"/>
        <w:spacing w:before="60" w:after="120"/>
      </w:pPr>
      <w:r>
        <w:rPr>
          <w:b/>
        </w:rPr>
        <w:t>If nothing to report:</w:t>
      </w:r>
      <w:r>
        <w:rPr>
          <w:i w:val="0"/>
        </w:rPr>
        <w:t xml:space="preserve"> No significant safety-related changes were made to the Investigator's Brochure during the reporting period. The current edition is Edition [n], dated [date].</w:t>
      </w:r>
    </w:p>
    <w:p>
      <w:pPr>
        <w:pStyle w:val="DSURPlaceholder"/>
      </w:pPr>
      <w:r>
        <w:t>[Section 4 text.]</w:t>
      </w:r>
    </w:p>
    <w:p>
      <w:pPr>
        <w:pStyle w:val="Heading1"/>
      </w:pPr>
      <w:r>
        <w:t>5. Inventory of clinical trials ongoing and completed during the reporting period</w:t>
      </w:r>
    </w:p>
    <w:p>
      <w:pPr>
        <w:pStyle w:val="DSURGuidance"/>
        <w:spacing w:before="40"/>
      </w:pPr>
      <w:r>
        <w:rPr>
          <w:i/>
        </w:rPr>
        <w:t>Book: Chapter 5; E2F §3.5</w:t>
      </w:r>
    </w:p>
    <w:p>
      <w:pPr>
        <w:pStyle w:val="DSURGuidance"/>
        <w:spacing w:before="80"/>
      </w:pPr>
      <w:r>
        <w:rPr>
          <w:b/>
          <w:color w:val="5B7FA6"/>
          <w:sz w:val="16"/>
        </w:rPr>
        <w:t>GUIDANCE (DELETE BEFORE SUBMISSION)</w:t>
      </w:r>
    </w:p>
    <w:p>
      <w:pPr>
        <w:pStyle w:val="DSURGuidance"/>
        <w:spacing w:before="60"/>
      </w:pPr>
      <w:r>
        <w:rPr>
          <w:b/>
        </w:rPr>
        <w:t>Logic.</w:t>
      </w:r>
      <w:r>
        <w:rPr>
          <w:i w:val="0"/>
        </w:rPr>
        <w:t xml:space="preserve"> Section 5 answers which of the sponsor's trials ran during the period and in what status. It precedes Section 6 because every trial in the inventory must contribute to the exposure, and a trial's status decides whether its findings go in Section 8.1 or 8.2 (5.1; Appendix E, Chapter 5). Reviewers test it against public registries and the SUSARs they received from each trial (Chapter 2, What reviewers look for).</w:t>
      </w:r>
    </w:p>
    <w:p>
      <w:pPr>
        <w:pStyle w:val="DSURGuidance"/>
        <w:spacing w:before="60"/>
      </w:pPr>
      <w:r>
        <w:rPr>
          <w:b/>
        </w:rPr>
        <w:t>Message.</w:t>
      </w:r>
      <w:r>
        <w:rPr>
          <w:i w:val="0"/>
        </w:rPr>
        <w:t xml:space="preserve"> Every sponsor trial ongoing or completed in the period is listed, with its status as E2F defines it: completed only when the clinical study report is final.</w:t>
      </w:r>
    </w:p>
    <w:p>
      <w:pPr>
        <w:pStyle w:val="DSURGuidance"/>
        <w:spacing w:before="60"/>
      </w:pPr>
      <w:r>
        <w:rPr>
          <w:b/>
        </w:rPr>
        <w:t>Model:</w:t>
      </w:r>
      <w:r>
        <w:rPr>
          <w:i/>
        </w:rPr>
        <w:t xml:space="preserve"> [n] clinical trials of [drug] were ongoing during the reporting period and [n] were completed. [Trial ID] ended on [date], but its clinical study report was not final at the data lock point, so it is reported as ongoing. Details of each trial are in Appendix 3.</w:t>
      </w:r>
    </w:p>
    <w:p>
      <w:pPr>
        <w:pStyle w:val="DSURGuidance"/>
        <w:spacing w:before="60"/>
      </w:pPr>
      <w:r>
        <w:rPr>
          <w:b/>
        </w:rPr>
        <w:t>Anatomy.</w:t>
      </w:r>
      <w:r>
        <w:rPr>
          <w:i w:val="0"/>
        </w:rPr>
      </w:r>
    </w:p>
    <w:p>
      <w:pPr>
        <w:pStyle w:val="DSURGuidanceList"/>
        <w:tabs>
          <w:tab w:pos="539" w:val="left"/>
        </w:tabs>
      </w:pPr>
      <w:r>
        <w:t>1.</w:t>
        <w:tab/>
        <w:t>Body: a brief overview of the trials ongoing and completed during the period, pointing to Appendix 3.</w:t>
      </w:r>
    </w:p>
    <w:p>
      <w:pPr>
        <w:pStyle w:val="DSURGuidanceList"/>
        <w:tabs>
          <w:tab w:pos="539" w:val="left"/>
        </w:tabs>
      </w:pPr>
      <w:r>
        <w:t>2.</w:t>
        <w:tab/>
        <w:t>Appendix 3, the status list: for each trial, its identifier, phase, status, countries with at least one site, abbreviated title, design, dose and regimen of the drug and comparators, population, start date, planned enrollment, and estimated cumulative exposure per arm, actual for open or completed trials and estimated from the randomization scheme for blinded ones (E2F §3.5).</w:t>
      </w:r>
    </w:p>
    <w:p>
      <w:pPr>
        <w:pStyle w:val="DSURGuidanceList"/>
        <w:tabs>
          <w:tab w:pos="539" w:val="left"/>
        </w:tabs>
      </w:pPr>
      <w:r>
        <w:t>3.</w:t>
        <w:tab/>
        <w:t>Extension trials marked so that their subjects are not counted again in Section 6 (5.3).</w:t>
      </w:r>
    </w:p>
    <w:p>
      <w:pPr>
        <w:pStyle w:val="DSURGuidance"/>
        <w:spacing w:before="60"/>
      </w:pPr>
      <w:r>
        <w:rPr>
          <w:b/>
        </w:rPr>
        <w:t>Level of detail.</w:t>
      </w:r>
      <w:r>
        <w:rPr>
          <w:i w:val="0"/>
        </w:rPr>
      </w:r>
    </w:p>
    <w:p>
      <w:pPr>
        <w:pStyle w:val="DSURGuidanceList"/>
        <w:tabs>
          <w:tab w:pos="539" w:val="left"/>
        </w:tabs>
      </w:pPr>
      <w:r>
        <w:t>•</w:t>
        <w:tab/>
      </w:r>
      <w:r>
        <w:rPr>
          <w:b/>
        </w:rPr>
        <w:t>Early development (few subjects):</w:t>
      </w:r>
      <w:r>
        <w:t xml:space="preserve"> Few trials (one in Case A's first DSUR); give subjects by dose level (Appendix E, Chapter 16).</w:t>
      </w:r>
    </w:p>
    <w:p>
      <w:pPr>
        <w:pStyle w:val="DSURGuidanceList"/>
        <w:tabs>
          <w:tab w:pos="539" w:val="left"/>
        </w:tabs>
      </w:pPr>
      <w:r>
        <w:t>•</w:t>
        <w:tab/>
      </w:r>
      <w:r>
        <w:rPr>
          <w:b/>
        </w:rPr>
        <w:t>Late development (large, often blinded trials):</w:t>
      </w:r>
      <w:r>
        <w:t xml:space="preserve"> Show randomized numbers with the estimated split for blinded trials, flag extensions as rolled-over subjects, and list a completed trial in the year its report becomes final; after that it leaves the inventory but not the cumulative exposure (5.3).</w:t>
      </w:r>
    </w:p>
    <w:p>
      <w:pPr>
        <w:pStyle w:val="DSURGuidanceList"/>
        <w:tabs>
          <w:tab w:pos="539" w:val="left"/>
        </w:tabs>
      </w:pPr>
      <w:r>
        <w:t>•</w:t>
        <w:tab/>
      </w:r>
      <w:r>
        <w:rPr>
          <w:b/>
        </w:rPr>
        <w:t>Marketed drug:</w:t>
      </w:r>
      <w:r>
        <w:t xml:space="preserve"> The inventory still covers all sponsor interventional trials, including Phase 4 trials in approved indications (1.1, 2.5).</w:t>
      </w:r>
    </w:p>
    <w:p>
      <w:pPr>
        <w:pStyle w:val="DSURGuidanceList"/>
        <w:tabs>
          <w:tab w:pos="539" w:val="left"/>
        </w:tabs>
      </w:pPr>
      <w:r>
        <w:t>•</w:t>
        <w:tab/>
      </w:r>
      <w:r>
        <w:rPr>
          <w:b/>
        </w:rPr>
        <w:t>Quiet year:</w:t>
      </w:r>
      <w:r>
        <w:t xml:space="preserve"> A trial that has begun is ongoing even when on hold or when dosing has ended without a final report, so it stays in the inventory (E2F §3.5; 16.4).</w:t>
      </w:r>
    </w:p>
    <w:p>
      <w:pPr>
        <w:pStyle w:val="DSURGuidance"/>
        <w:spacing w:before="60" w:after="120"/>
      </w:pPr>
      <w:r>
        <w:rPr>
          <w:b/>
        </w:rPr>
        <w:t>Ask:</w:t>
      </w:r>
      <w:r>
        <w:rPr>
          <w:i w:val="0"/>
        </w:rPr>
        <w:t xml:space="preserve"> Is every trial's status right by E2F's definition, and does the inventory match the exposure table? (Chapter 5)</w:t>
      </w:r>
    </w:p>
    <w:p>
      <w:pPr>
        <w:pStyle w:val="DSURPlaceholder"/>
      </w:pPr>
      <w:r>
        <w:t>[Section 5 text.]</w:t>
      </w:r>
    </w:p>
    <w:p>
      <w:pPr>
        <w:pStyle w:val="Heading1"/>
      </w:pPr>
      <w:r>
        <w:t>6. Estimated cumulative exposure</w:t>
      </w:r>
    </w:p>
    <w:p>
      <w:pPr>
        <w:pStyle w:val="DSURGuidance"/>
        <w:spacing w:before="40"/>
      </w:pPr>
      <w:r>
        <w:rPr>
          <w:i/>
        </w:rPr>
        <w:t>Book: Chapter 5; E2F §3.6</w:t>
      </w:r>
    </w:p>
    <w:p>
      <w:pPr>
        <w:pStyle w:val="DSURGuidance"/>
        <w:spacing w:before="80"/>
      </w:pPr>
      <w:r>
        <w:rPr>
          <w:b/>
          <w:color w:val="5B7FA6"/>
          <w:sz w:val="16"/>
        </w:rPr>
        <w:t>GUIDANCE (DELETE BEFORE SUBMISSION)</w:t>
      </w:r>
    </w:p>
    <w:p>
      <w:pPr>
        <w:pStyle w:val="DSURGuidance"/>
        <w:spacing w:before="60"/>
      </w:pPr>
      <w:r>
        <w:rPr>
          <w:b/>
        </w:rPr>
        <w:t>Logic.</w:t>
      </w:r>
      <w:r>
        <w:rPr>
          <w:i w:val="0"/>
        </w:rPr>
        <w:t xml:space="preserve"> Section 6 supplies the denominator for every rate, comparison and "consistent with" in Sections 18 and 19 and the Executive Summary; a report with good case data and poor exposure data cannot support its own conclusions (5.2). It is cumulative since the DIBD, built from the trials in Section 5, and split the same way as the SAE tabulations in Section 7.3 (6.2, 6.9). The 6.1 table is the single source for every cumulative exposure figure quoted elsewhere (13.5).</w:t>
      </w:r>
    </w:p>
    <w:p>
      <w:pPr>
        <w:pStyle w:val="DSURGuidance"/>
        <w:spacing w:before="60"/>
      </w:pPr>
      <w:r>
        <w:rPr>
          <w:b/>
        </w:rPr>
        <w:t>Message.</w:t>
      </w:r>
      <w:r>
        <w:rPr>
          <w:i w:val="0"/>
        </w:rPr>
        <w:t xml:space="preserve"> The reader knows how many subjects, and for how long, have received the drug, placebo and comparators, which figures are estimated, and how.</w:t>
      </w:r>
    </w:p>
    <w:p>
      <w:pPr>
        <w:pStyle w:val="DSURGuidance"/>
        <w:spacing w:before="60"/>
      </w:pPr>
      <w:r>
        <w:rPr>
          <w:b/>
        </w:rPr>
        <w:t>Model:</w:t>
      </w:r>
      <w:r>
        <w:rPr>
          <w:i/>
        </w:rPr>
        <w:t xml:space="preserve"> Exposure in the ongoing blinded trial [ID] is estimated from the number of subjects randomized ([N]) and the [2:1] randomization ratio: approximately [n] subjects on [drug] and [n] on placebo. No data were unblinded for this report.</w:t>
      </w:r>
    </w:p>
    <w:p>
      <w:pPr>
        <w:pStyle w:val="DSURGuidance"/>
        <w:spacing w:before="60"/>
      </w:pPr>
      <w:r>
        <w:rPr>
          <w:b/>
        </w:rPr>
        <w:t>Anatomy.</w:t>
      </w:r>
      <w:r>
        <w:rPr>
          <w:i w:val="0"/>
        </w:rPr>
      </w:r>
    </w:p>
    <w:p>
      <w:pPr>
        <w:pStyle w:val="DSURGuidanceList"/>
        <w:tabs>
          <w:tab w:pos="539" w:val="left"/>
        </w:tabs>
      </w:pPr>
      <w:r>
        <w:t>1.</w:t>
        <w:tab/>
        <w:t>6.1: A cumulative exposure table: subjects since the DIBD on the drug, placebo and active comparators, with actual counts for completed and open trials and estimates for blinded trials, each figure's source flagged (5.4). Note important differences in dose, route or population between trials, or use separate tables; split by indication if the SAE tabulations are; healthy-volunteer exposure may be presented separately, with an explanation (E2F §3.6).</w:t>
      </w:r>
    </w:p>
    <w:p>
      <w:pPr>
        <w:pStyle w:val="DSURGuidanceList"/>
        <w:tabs>
          <w:tab w:pos="539" w:val="left"/>
        </w:tabs>
      </w:pPr>
      <w:r>
        <w:t>2.</w:t>
        <w:tab/>
        <w:t>6.1: Subject-time where exposure time differs substantially between arms or trials (5.5).</w:t>
      </w:r>
    </w:p>
    <w:p>
      <w:pPr>
        <w:pStyle w:val="DSURGuidanceList"/>
        <w:tabs>
          <w:tab w:pos="539" w:val="left"/>
        </w:tabs>
      </w:pPr>
      <w:r>
        <w:t>3.</w:t>
        <w:tab/>
        <w:t>6.1: The method paragraph, directly beneath the table: data source and cut-off, the randomization ratio and enrollment date used, that no data were unblinded, that extension subjects are counted in their parent trials, and the limits of the estimate (E2F §3.6.1; 5.4). Where this year's total does not follow from last year's plus this year's enrollment, say why (Chapter 5, What reviewers look for).</w:t>
      </w:r>
    </w:p>
    <w:p>
      <w:pPr>
        <w:pStyle w:val="DSURGuidanceList"/>
        <w:tabs>
          <w:tab w:pos="539" w:val="left"/>
        </w:tabs>
      </w:pPr>
      <w:r>
        <w:t>4.</w:t>
        <w:tab/>
        <w:t>6.1: Where exposure is incomplete, a specific statement of what is missing and why: older trials taken from study reports, partner trials without exposure, investigator-initiated trials not included (5.9).</w:t>
      </w:r>
    </w:p>
    <w:p>
      <w:pPr>
        <w:pStyle w:val="DSURGuidanceList"/>
        <w:tabs>
          <w:tab w:pos="539" w:val="left"/>
        </w:tabs>
      </w:pPr>
      <w:r>
        <w:t>5.</w:t>
        <w:tab/>
        <w:t>6.1, Appendix 4: Cumulative exposure to the drug by age range, sex and racial group where available, using the same age bands as the SAE analyses, and a separate demographics table for a pivotal trial (5.7). For a pediatric program, use age groups meaningful for development and show children and adults separately (16.5).</w:t>
      </w:r>
    </w:p>
    <w:p>
      <w:pPr>
        <w:pStyle w:val="DSURGuidanceList"/>
        <w:tabs>
          <w:tab w:pos="539" w:val="left"/>
        </w:tabs>
      </w:pPr>
      <w:r>
        <w:t>6.</w:t>
        <w:tab/>
        <w:t>6.1: The exposure sentence, written once here, rounded once, and reused word for word in the Executive Summary and Sections 18 and 19 (5.10).</w:t>
      </w:r>
    </w:p>
    <w:p>
      <w:pPr>
        <w:pStyle w:val="DSURGuidanceList"/>
        <w:tabs>
          <w:tab w:pos="539" w:val="left"/>
        </w:tabs>
      </w:pPr>
      <w:r>
        <w:t>7.</w:t>
        <w:tab/>
        <w:t>6.2: For a marketed drug, the estimated cumulative patient exposure in the marketed setting, with its method, from the most recent PBRER or another suitable source (E2F §3.6.2).</w:t>
      </w:r>
    </w:p>
    <w:p>
      <w:pPr>
        <w:pStyle w:val="DSURGuidance"/>
        <w:spacing w:before="60"/>
      </w:pPr>
      <w:r>
        <w:rPr>
          <w:b/>
        </w:rPr>
        <w:t>Level of detail.</w:t>
      </w:r>
      <w:r>
        <w:rPr>
          <w:i w:val="0"/>
        </w:rPr>
      </w:r>
    </w:p>
    <w:p>
      <w:pPr>
        <w:pStyle w:val="DSURGuidanceList"/>
        <w:tabs>
          <w:tab w:pos="539" w:val="left"/>
        </w:tabs>
      </w:pPr>
      <w:r>
        <w:t>•</w:t>
        <w:tab/>
      </w:r>
      <w:r>
        <w:rPr>
          <w:b/>
        </w:rPr>
        <w:t>Early development (few subjects):</w:t>
      </w:r>
      <w:r>
        <w:t xml:space="preserve"> Give subjects by dose level, matching dose-level columns in the SAE tabulation (6.4; Appendix E, Chapter 16).</w:t>
      </w:r>
    </w:p>
    <w:p>
      <w:pPr>
        <w:pStyle w:val="DSURGuidanceList"/>
        <w:tabs>
          <w:tab w:pos="539" w:val="left"/>
        </w:tabs>
      </w:pPr>
      <w:r>
        <w:t>•</w:t>
        <w:tab/>
      </w:r>
      <w:r>
        <w:rPr>
          <w:b/>
        </w:rPr>
        <w:t>Late development (large, often blinded trials):</w:t>
      </w:r>
      <w:r>
        <w:t xml:space="preserve"> Combine actual counts with estimates from the randomization ratio, never "blinded" in every cell (5.11), and give both subject counts and subject-years for the comparisons Section 18 will make (5.4, 5.5). For a vaccine in healthy adults, split by dose number and age group, with person-time of follow-up by age group (5.8).</w:t>
      </w:r>
    </w:p>
    <w:p>
      <w:pPr>
        <w:pStyle w:val="DSURGuidanceList"/>
        <w:tabs>
          <w:tab w:pos="539" w:val="left"/>
        </w:tabs>
      </w:pPr>
      <w:r>
        <w:t>•</w:t>
        <w:tab/>
      </w:r>
      <w:r>
        <w:rPr>
          <w:b/>
        </w:rPr>
        <w:t>Marketed drug:</w:t>
      </w:r>
      <w:r>
        <w:t xml:space="preserve"> Section 6.2 carries content, drawn from the most recent PBRER with its method. Where precise cumulative trial exposure cannot be reconstructed for a long-marketed drug, present current trials precisely and older ones from their study reports, and state the limits (5.6, 5.9).</w:t>
      </w:r>
    </w:p>
    <w:p>
      <w:pPr>
        <w:pStyle w:val="DSURGuidanceList"/>
        <w:tabs>
          <w:tab w:pos="539" w:val="left"/>
        </w:tabs>
      </w:pPr>
      <w:r>
        <w:t>•</w:t>
        <w:tab/>
      </w:r>
      <w:r>
        <w:rPr>
          <w:b/>
        </w:rPr>
        <w:t>Quiet year:</w:t>
      </w:r>
      <w:r>
        <w:t xml:space="preserve"> In a follow-up-only year the number of subjects does not change; give subject-years of follow-up and the distribution of time since dosing, which grow each year (5.6, 16.6).</w:t>
      </w:r>
    </w:p>
    <w:p>
      <w:pPr>
        <w:pStyle w:val="DSURGuidance"/>
        <w:spacing w:before="60" w:after="120"/>
      </w:pPr>
      <w:r>
        <w:rPr>
          <w:b/>
        </w:rPr>
        <w:t>Ask:</w:t>
      </w:r>
      <w:r>
        <w:rPr>
          <w:i w:val="0"/>
        </w:rPr>
        <w:t xml:space="preserve"> Could a reader reproduce the exposure figures from the method paragraph? Is exposure split the same way as the SAE tabulations? (Chapter 5)</w:t>
      </w:r>
    </w:p>
    <w:p>
      <w:pPr>
        <w:pStyle w:val="Heading2"/>
      </w:pPr>
      <w:r>
        <w:t>6.1 Cumulative subject exposure in the development program</w:t>
      </w:r>
    </w:p>
    <w:p>
      <w:pPr>
        <w:pStyle w:val="DSURPlaceholder"/>
      </w:pPr>
      <w:r>
        <w:t>[Section 6.1 text.]</w:t>
      </w:r>
    </w:p>
    <w:p>
      <w:pPr>
        <w:pStyle w:val="Heading2"/>
      </w:pPr>
      <w:r>
        <w:t>6.2 Patient exposure from marketing experience</w:t>
      </w:r>
    </w:p>
    <w:p>
      <w:pPr>
        <w:pStyle w:val="DSURGuidance"/>
        <w:spacing w:before="80"/>
      </w:pPr>
      <w:r>
        <w:rPr>
          <w:b/>
          <w:color w:val="5B7FA6"/>
          <w:sz w:val="16"/>
        </w:rPr>
        <w:t>GUIDANCE (DELETE BEFORE SUBMISSION)</w:t>
      </w:r>
    </w:p>
    <w:p>
      <w:pPr>
        <w:pStyle w:val="DSURGuidance"/>
        <w:spacing w:before="60" w:after="120"/>
      </w:pPr>
      <w:r>
        <w:rPr>
          <w:b/>
        </w:rPr>
        <w:t>If nothing to report (6.2):</w:t>
      </w:r>
      <w:r>
        <w:rPr>
          <w:i w:val="0"/>
        </w:rPr>
        <w:t xml:space="preserve"> [Drug] is not marketed; there is no exposure from marketing experience.</w:t>
      </w:r>
    </w:p>
    <w:p>
      <w:pPr>
        <w:pStyle w:val="DSURPlaceholder"/>
      </w:pPr>
      <w:r>
        <w:t>[Section 6.2 text.]</w:t>
      </w:r>
    </w:p>
    <w:p>
      <w:pPr>
        <w:pStyle w:val="Heading1"/>
      </w:pPr>
      <w:r>
        <w:t>7. Data in line listings and summary tabulations</w:t>
      </w:r>
    </w:p>
    <w:p>
      <w:pPr>
        <w:pStyle w:val="DSURGuidance"/>
        <w:spacing w:before="40"/>
      </w:pPr>
      <w:r>
        <w:rPr>
          <w:i/>
        </w:rPr>
        <w:t>Book: Chapters 4 and 6; E2F §3.7</w:t>
      </w:r>
    </w:p>
    <w:p>
      <w:pPr>
        <w:pStyle w:val="DSURGuidance"/>
        <w:spacing w:before="80"/>
      </w:pPr>
      <w:r>
        <w:rPr>
          <w:b/>
          <w:color w:val="5B7FA6"/>
          <w:sz w:val="16"/>
        </w:rPr>
        <w:t>GUIDANCE (DELETE BEFORE SUBMISSION)</w:t>
      </w:r>
    </w:p>
    <w:p>
      <w:pPr>
        <w:pStyle w:val="DSURGuidance"/>
        <w:spacing w:before="60"/>
      </w:pPr>
      <w:r>
        <w:rPr>
          <w:b/>
        </w:rPr>
        <w:t>Logic.</w:t>
      </w:r>
      <w:r>
        <w:rPr>
          <w:i w:val="0"/>
        </w:rPr>
        <w:t xml:space="preserve"> Section 7 counts; it does not judge. It fixes the standard of expectedness (7.1), states which of the period's serious adverse reactions were listed (7.2), and describes the cumulative tabulation of all serious adverse events since the DIBD (7.3), with the data themselves in Appendices 5 and 6 (6.1). It is built from the safety and clinical databases extracted and reconciled at the data lock point and from the start-of-period RSI, and it feeds the aggregate reasoning in Section 18, the counts in the Executive Summary, the regional listings and the QC checks (6.5; Chapter 6).</w:t>
      </w:r>
    </w:p>
    <w:p>
      <w:pPr>
        <w:pStyle w:val="DSURGuidance"/>
        <w:spacing w:before="60"/>
      </w:pPr>
      <w:r>
        <w:rPr>
          <w:b/>
        </w:rPr>
        <w:t>Message.</w:t>
      </w:r>
      <w:r>
        <w:rPr>
          <w:i w:val="0"/>
        </w:rPr>
        <w:t xml:space="preserve"> The reader can see which reference judged expectedness, which cases were listed and counted and on what rule, and what was excluded and why, with no analysis.</w:t>
      </w:r>
    </w:p>
    <w:p>
      <w:pPr>
        <w:pStyle w:val="DSURGuidance"/>
        <w:spacing w:before="60"/>
      </w:pPr>
      <w:r>
        <w:rPr>
          <w:b/>
        </w:rPr>
        <w:t>Model:</w:t>
      </w:r>
      <w:r>
        <w:rPr>
          <w:i/>
        </w:rPr>
        <w:t xml:space="preserve"> Expectedness was assessed against the reference safety information in Section [6.4] of the Investigator's Brochure, Edition [n], dated [date], which was in effect at the start of the reporting period. Events were coded using MedDRA version [29.0].</w:t>
      </w:r>
    </w:p>
    <w:p>
      <w:pPr>
        <w:pStyle w:val="DSURGuidance"/>
        <w:spacing w:before="60"/>
      </w:pPr>
      <w:r>
        <w:rPr>
          <w:b/>
        </w:rPr>
        <w:t>Anatomy.</w:t>
      </w:r>
      <w:r>
        <w:rPr>
          <w:i w:val="0"/>
        </w:rPr>
      </w:r>
    </w:p>
    <w:p>
      <w:pPr>
        <w:pStyle w:val="DSURGuidanceList"/>
        <w:tabs>
          <w:tab w:pos="539" w:val="left"/>
        </w:tabs>
      </w:pPr>
      <w:r>
        <w:t>1.</w:t>
        <w:tab/>
        <w:t>7.1 Reference information. One sentence naming the document, the section that lists expected serious adverse reactions, the edition, its date, and the coding dictionary version (E2F §3.7.1; 4.1). Where there is more than one reference, say which trials each governs (4.6). Where anything is unusual, such as an IB revised mid-period, add one or two sentences explaining why cases appear as unexpected here though they were assessed as expected for expedited reporting (4.4, 4.9). Note which database the tables come from (6.5).</w:t>
      </w:r>
    </w:p>
    <w:p>
      <w:pPr>
        <w:pStyle w:val="DSURGuidanceList"/>
        <w:tabs>
          <w:tab w:pos="539" w:val="left"/>
        </w:tabs>
      </w:pPr>
      <w:r>
        <w:t>2.</w:t>
        <w:tab/>
        <w:t>7.2 Line listings of serious adverse reactions. The case selection rule: the period, the trials, the causality criterion, and that blinded cases are included and shown as "blinded" unless the blind was broken for that case (6.3; Appendix E, Chapter 6). The listings themselves go in Appendix 5, ordered by trial and then by System Organ Class, each subject listed once per episode under the most serious reaction (E2F §3.7.2; 6.3).</w:t>
      </w:r>
    </w:p>
    <w:p>
      <w:pPr>
        <w:pStyle w:val="DSURGuidanceList"/>
        <w:tabs>
          <w:tab w:pos="539" w:val="left"/>
        </w:tabs>
      </w:pPr>
      <w:r>
        <w:t>3.</w:t>
        <w:tab/>
        <w:t>7.3 Cumulative summary tabulations of serious adverse events. A description of the tabulation in Appendix 6: all serious adverse events since the DIBD, seriousness-defining terms only, by System Organ Class and Preferred Term, with columns for the investigational drug, placebo, active comparator and treatment unknown due to blinding (E2F §3.7.3; 6.1, 6.4). State the pooling or splitting chosen, and state each exclusion here and in a table footnote, such as events that are efficacy endpoints (6.4). Refer to any separate tabulation of adverse events of special interest and to the list of deaths (6.7).</w:t>
      </w:r>
    </w:p>
    <w:p>
      <w:pPr>
        <w:pStyle w:val="DSURGuidance"/>
      </w:pPr>
      <w:r>
        <w:rPr>
          <w:i w:val="0"/>
        </w:rPr>
        <w:t>Keep analysis out of Section 7. Interpretation belongs in Section 18. Figures may present the listings and tabulations but carry no conclusions (13.10).</w:t>
      </w:r>
    </w:p>
    <w:p>
      <w:pPr>
        <w:pStyle w:val="DSURGuidance"/>
        <w:spacing w:before="60"/>
      </w:pPr>
      <w:r>
        <w:rPr>
          <w:b/>
        </w:rPr>
        <w:t>Level of detail.</w:t>
      </w:r>
      <w:r>
        <w:rPr>
          <w:i w:val="0"/>
        </w:rPr>
      </w:r>
    </w:p>
    <w:p>
      <w:pPr>
        <w:pStyle w:val="DSURGuidanceList"/>
        <w:tabs>
          <w:tab w:pos="539" w:val="left"/>
        </w:tabs>
      </w:pPr>
      <w:r>
        <w:t>•</w:t>
        <w:tab/>
      </w:r>
      <w:r>
        <w:rPr>
          <w:b/>
        </w:rPr>
        <w:t>Early development (few subjects):</w:t>
      </w:r>
      <w:r>
        <w:t xml:space="preserve"> 7.1 names the first IB edition (16.2). For open-label dose-finding, columns by dose level are often more informative than a single drug column (6.4).</w:t>
      </w:r>
    </w:p>
    <w:p>
      <w:pPr>
        <w:pStyle w:val="DSURGuidanceList"/>
        <w:tabs>
          <w:tab w:pos="539" w:val="left"/>
        </w:tabs>
      </w:pPr>
      <w:r>
        <w:t>•</w:t>
        <w:tab/>
      </w:r>
      <w:r>
        <w:rPr>
          <w:b/>
        </w:rPr>
        <w:t>Late development (large, often blinded trials):</w:t>
      </w:r>
      <w:r>
        <w:t xml:space="preserve"> Split the tabulation where populations or designs differ enough to matter for Section 18 and pool where they do not, splitting exposure in Section 6 the same way; a fully pooled version can go in a second appendix table (6.9). Where trials collect efficacy-endpoint events or a protocol-defined list of AESIs, as in Case D's vaccine trials, state the exclusions and refer to the separate AESI tabulation and the deaths list (6.4, 6.7).</w:t>
      </w:r>
    </w:p>
    <w:p>
      <w:pPr>
        <w:pStyle w:val="DSURGuidanceList"/>
        <w:tabs>
          <w:tab w:pos="539" w:val="left"/>
        </w:tabs>
      </w:pPr>
      <w:r>
        <w:t>•</w:t>
        <w:tab/>
      </w:r>
      <w:r>
        <w:rPr>
          <w:b/>
        </w:rPr>
        <w:t>Marketed drug:</w:t>
      </w:r>
      <w:r>
        <w:t xml:space="preserve"> 7.1 names the IB or the label as the reference and says why, and which trials each governs (4.6, 4.9). Cases from marketed use are summarized in Section 11; the listings carry cases from the sponsor's trials, and no case is counted twice without saying so (16.7).</w:t>
      </w:r>
    </w:p>
    <w:p>
      <w:pPr>
        <w:pStyle w:val="DSURGuidanceList"/>
        <w:tabs>
          <w:tab w:pos="539" w:val="left"/>
        </w:tabs>
      </w:pPr>
      <w:r>
        <w:t>•</w:t>
        <w:tab/>
      </w:r>
      <w:r>
        <w:rPr>
          <w:b/>
        </w:rPr>
        <w:t>Quiet year:</w:t>
      </w:r>
      <w:r>
        <w:t xml:space="preserve"> 7.1 and 7.3 are needed every year, because the reference must be named and the tabulation is cumulative since the DIBD (6.2).</w:t>
      </w:r>
    </w:p>
    <w:p>
      <w:pPr>
        <w:pStyle w:val="DSURGuidance"/>
        <w:spacing w:before="60" w:after="120"/>
      </w:pPr>
      <w:r>
        <w:rPr>
          <w:b/>
        </w:rPr>
        <w:t>Ask:</w:t>
      </w:r>
      <w:r>
        <w:rPr>
          <w:i w:val="0"/>
        </w:rPr>
        <w:t xml:space="preserve"> Does the RSI in 7.1 match the expectedness column in the listings? Does the listing count match the text? (Chapters 4 and 6)</w:t>
      </w:r>
    </w:p>
    <w:p>
      <w:pPr>
        <w:pStyle w:val="Heading2"/>
      </w:pPr>
      <w:r>
        <w:t>7.1 Reference information</w:t>
      </w:r>
    </w:p>
    <w:p>
      <w:pPr>
        <w:pStyle w:val="DSURPlaceholder"/>
      </w:pPr>
      <w:r>
        <w:t>[Section 7.1 text.]</w:t>
      </w:r>
    </w:p>
    <w:p>
      <w:pPr>
        <w:pStyle w:val="Heading2"/>
      </w:pPr>
      <w:r>
        <w:t>7.2 Line listings of serious adverse reactions during the reporting period</w:t>
      </w:r>
    </w:p>
    <w:p>
      <w:pPr>
        <w:pStyle w:val="DSURPlaceholder"/>
      </w:pPr>
      <w:r>
        <w:t>[Section 7.2 text.]</w:t>
      </w:r>
    </w:p>
    <w:p>
      <w:pPr>
        <w:pStyle w:val="Heading2"/>
      </w:pPr>
      <w:r>
        <w:t>7.3 Cumulative summary tabulations of serious adverse events</w:t>
      </w:r>
    </w:p>
    <w:p>
      <w:pPr>
        <w:pStyle w:val="DSURPlaceholder"/>
      </w:pPr>
      <w:r>
        <w:t>[Section 7.3 text.]</w:t>
      </w:r>
    </w:p>
    <w:p>
      <w:pPr>
        <w:pStyle w:val="Heading1"/>
      </w:pPr>
      <w:r>
        <w:t>8. Significant findings from clinical trials during the reporting period</w:t>
      </w:r>
    </w:p>
    <w:p>
      <w:pPr>
        <w:pStyle w:val="DSURGuidance"/>
        <w:spacing w:before="40"/>
      </w:pPr>
      <w:r>
        <w:rPr>
          <w:i/>
        </w:rPr>
        <w:t>Book: Chapter 9; E2F §3.8</w:t>
      </w:r>
    </w:p>
    <w:p>
      <w:pPr>
        <w:pStyle w:val="DSURGuidance"/>
        <w:spacing w:before="80"/>
      </w:pPr>
      <w:r>
        <w:rPr>
          <w:b/>
          <w:color w:val="5B7FA6"/>
          <w:sz w:val="16"/>
        </w:rPr>
        <w:t>GUIDANCE (DELETE BEFORE SUBMISSION)</w:t>
      </w:r>
    </w:p>
    <w:p>
      <w:pPr>
        <w:pStyle w:val="DSURGuidance"/>
        <w:spacing w:before="60"/>
      </w:pPr>
      <w:r>
        <w:rPr>
          <w:b/>
        </w:rPr>
        <w:t>Logic.</w:t>
      </w:r>
      <w:r>
        <w:rPr>
          <w:i w:val="0"/>
        </w:rPr>
        <w:t xml:space="preserve"> Section 8 answers what the sponsor's own trials found this period that matters for the safety of people still being exposed. It follows the data layer because Section 7 says what was counted and how, Section 8 says what trials found, and Section 18 says what it means (6.6). It draws on final study reports, DMC outcomes, cases unblinded for expedited reporting, planned interim analyses, long-term follow-up, other therapeutic use and combination DSURs, and it feeds Sections 18.1 and 18.2, Section 19 for important risks, Sections 3 or 4 when a finding was acted on, and Section 20 (9.1, 9.2).</w:t>
      </w:r>
    </w:p>
    <w:p>
      <w:pPr>
        <w:pStyle w:val="DSURGuidance"/>
        <w:spacing w:before="60"/>
      </w:pPr>
      <w:r>
        <w:rPr>
          <w:b/>
        </w:rPr>
        <w:t>Message.</w:t>
      </w:r>
      <w:r>
        <w:rPr>
          <w:i w:val="0"/>
        </w:rPr>
        <w:t xml:space="preserve"> Each finding is stated as what the trials found, classified as new, confirmatory, refuting or not informative, and put no more firmly than the evidence allows.</w:t>
      </w:r>
    </w:p>
    <w:p>
      <w:pPr>
        <w:pStyle w:val="DSURGuidance"/>
        <w:spacing w:before="60"/>
      </w:pPr>
      <w:r>
        <w:rPr>
          <w:b/>
        </w:rPr>
        <w:t>Model:</w:t>
      </w:r>
      <w:r>
        <w:rPr>
          <w:i/>
        </w:rPr>
        <w:t xml:space="preserve"> The clinical study report for [trial], a [design] in [n] [population], was finalized in [month year]. The primary efficacy endpoint was [met / not met]. [Event], an [identified/potential] risk, occurred in [n] of [N] subjects receiving [drug] ([rate] per 100 subject-years) and [n] of [N] receiving [comparator] ([rate] per 100 subject-years). These results are consistent with the known profile (Section 18.1). No new safety signal was identified. A synopsis is provided in Appendix [n].</w:t>
      </w:r>
    </w:p>
    <w:p>
      <w:pPr>
        <w:pStyle w:val="DSURGuidance"/>
        <w:spacing w:before="60"/>
      </w:pPr>
      <w:r>
        <w:rPr>
          <w:b/>
        </w:rPr>
        <w:t>Anatomy.</w:t>
      </w:r>
      <w:r>
        <w:rPr>
          <w:i w:val="0"/>
        </w:rPr>
      </w:r>
    </w:p>
    <w:p>
      <w:pPr>
        <w:pStyle w:val="DSURGuidanceList"/>
        <w:tabs>
          <w:tab w:pos="539" w:val="left"/>
        </w:tabs>
      </w:pPr>
      <w:r>
        <w:t>1.</w:t>
        <w:tab/>
        <w:t>Organization: the five subsections in order, organized by indication within them where appropriate (E2F §3.8; 9.1).</w:t>
      </w:r>
    </w:p>
    <w:p>
      <w:pPr>
        <w:pStyle w:val="DSURGuidanceList"/>
        <w:tabs>
          <w:tab w:pos="539" w:val="left"/>
        </w:tabs>
      </w:pPr>
      <w:r>
        <w:t>2.</w:t>
        <w:tab/>
        <w:t>8.1 Completed clinical trials (E2F §3.8.1): only trials whose clinical study report became final in the period; a trial that stopped dosing but whose report is not final goes in 8.2. For each trial: the trial and the date its report was finalized; efficacy only where it bears on Section 18.2 or on subjects' safety (9.10); the safety findings that matter, with the numbers Section 18 will use; the classification; cross-references to Sections 18.1 and 19. The synopsis goes in an appendix (9.3, 13.6).</w:t>
      </w:r>
    </w:p>
    <w:p>
      <w:pPr>
        <w:pStyle w:val="DSURGuidanceList"/>
        <w:tabs>
          <w:tab w:pos="539" w:val="left"/>
        </w:tabs>
      </w:pPr>
      <w:r>
        <w:t>3.</w:t>
        <w:tab/>
        <w:t>8.2 Ongoing clinical trials (E2F §3.8.2): what the DMC recommended, what cases unblinded for expedited reporting showed, and what any planned interim analysis concluded, without inference beyond them (9.4). Blinded aggregate counts point to Appendix 6; any observed-to-expected comparison belongs in Section 18 (9.11). Unblinded assignments are given only for the unblinded cases, never in a way that invites inference about other subjects (2.8). For a program on hold, the status of each affected trial, including subjects still in follow-up (16.4).</w:t>
      </w:r>
    </w:p>
    <w:p>
      <w:pPr>
        <w:pStyle w:val="DSURGuidanceList"/>
        <w:tabs>
          <w:tab w:pos="539" w:val="left"/>
        </w:tabs>
      </w:pPr>
      <w:r>
        <w:t>4.</w:t>
        <w:tab/>
        <w:t>8.3 Long-term follow-up (E2F §3.8.3): subjects enrolled, median and range of follow-up since dosing, total subject-years, the delayed risks being watched and whether any occurred, and losses to follow-up (9.5).</w:t>
      </w:r>
    </w:p>
    <w:p>
      <w:pPr>
        <w:pStyle w:val="DSURGuidanceList"/>
        <w:tabs>
          <w:tab w:pos="539" w:val="left"/>
        </w:tabs>
      </w:pPr>
      <w:r>
        <w:t>5.</w:t>
        <w:tab/>
        <w:t>8.4 Other therapeutic use of the investigational drug (E2F §3.8.4): number of patients treated, dose and duration, how reporting was solicited (and that only serious events are collected, where that is so), and the clinically important findings, linked to the line listing and Section 19. Spontaneous reports from a large physician-run program are not presented as trial data with a known denominator (9.6, 9.9).</w:t>
      </w:r>
    </w:p>
    <w:p>
      <w:pPr>
        <w:pStyle w:val="DSURGuidanceList"/>
        <w:tabs>
          <w:tab w:pos="539" w:val="left"/>
        </w:tabs>
      </w:pPr>
      <w:r>
        <w:t>6.</w:t>
        <w:tab/>
        <w:t>8.5 New safety data related to combination therapies (E2F §3.8.5): the important findings from the DSUR of the combination or its components, with that DSUR identified by number and period, and any finding that affects this program carried into Section 18 (9.7).</w:t>
      </w:r>
    </w:p>
    <w:p>
      <w:pPr>
        <w:pStyle w:val="DSURGuidance"/>
        <w:spacing w:before="60"/>
      </w:pPr>
      <w:r>
        <w:rPr>
          <w:b/>
        </w:rPr>
        <w:t>Level of detail.</w:t>
      </w:r>
      <w:r>
        <w:rPr>
          <w:i w:val="0"/>
        </w:rPr>
        <w:t xml:space="preserve"> Classify each finding before writing it; the category sets its length. A new finding is described fully, with the strength of the evidence; a confirmatory one gets one or two sentences with updated numbers; a refuting one says what changed and why, and leaves as clear a trail as a new one; a not-informative one says so briefly and what would resolve it (9.2, 9.8).</w:t>
      </w:r>
    </w:p>
    <w:p>
      <w:pPr>
        <w:pStyle w:val="DSURGuidanceList"/>
        <w:tabs>
          <w:tab w:pos="539" w:val="left"/>
        </w:tabs>
      </w:pPr>
      <w:r>
        <w:t>•</w:t>
        <w:tab/>
      </w:r>
      <w:r>
        <w:rPr>
          <w:b/>
        </w:rPr>
        <w:t>Early development (few subjects):</w:t>
      </w:r>
      <w:r>
        <w:t xml:space="preserve"> There may be no completed trials yet (16.2). With small numbers, give counts and describe cases individually ("1 of 36 subjects") rather than percentages or rates (16.6, 16.9).</w:t>
      </w:r>
    </w:p>
    <w:p>
      <w:pPr>
        <w:pStyle w:val="DSURGuidanceList"/>
        <w:tabs>
          <w:tab w:pos="539" w:val="left"/>
        </w:tabs>
      </w:pPr>
      <w:r>
        <w:t>•</w:t>
        <w:tab/>
      </w:r>
      <w:r>
        <w:rPr>
          <w:b/>
        </w:rPr>
        <w:t>Late development (large, often blinded trials):</w:t>
      </w:r>
      <w:r>
        <w:t xml:space="preserve"> One paragraph per completed trial, giving rates by arm and subject-time for the findings Section 18 needs (9.3). Efficacy takes one sentence when the primary endpoint is met and one or two when it is missed, and may become the most important paragraph in Section 8 if a pivotal trial failed (9.10).</w:t>
      </w:r>
    </w:p>
    <w:p>
      <w:pPr>
        <w:pStyle w:val="DSURGuidanceList"/>
        <w:tabs>
          <w:tab w:pos="539" w:val="left"/>
        </w:tabs>
      </w:pPr>
      <w:r>
        <w:t>•</w:t>
        <w:tab/>
      </w:r>
      <w:r>
        <w:rPr>
          <w:b/>
        </w:rPr>
        <w:t>First DSUR / final DSUR:</w:t>
      </w:r>
      <w:r>
        <w:t xml:space="preserve"> In a first DSUR, 8.1 may hold only its empty statement (16.2).</w:t>
      </w:r>
    </w:p>
    <w:p>
      <w:pPr>
        <w:pStyle w:val="DSURGuidanceList"/>
        <w:tabs>
          <w:tab w:pos="539" w:val="left"/>
        </w:tabs>
      </w:pPr>
      <w:r>
        <w:t>•</w:t>
        <w:tab/>
      </w:r>
      <w:r>
        <w:rPr>
          <w:b/>
        </w:rPr>
        <w:t>Quiet year:</w:t>
      </w:r>
      <w:r>
        <w:t xml:space="preserve"> Absence is a finding when it has a denominator: long-term follow-up with no new events is reported with subject-time and the delayed risks it was watching for (9.5, 9.12). A DMC review with no change takes one sentence (9.11), and in a program on hold "No subjects were dosed during the reporting period" is itself a finding (16.4). In the late DSURs of an advanced therapy product, 8.3 may be the only section of the report with new information (9.1, 9.5).</w:t>
      </w:r>
    </w:p>
    <w:p>
      <w:pPr>
        <w:pStyle w:val="DSURGuidance"/>
        <w:spacing w:before="60" w:after="120"/>
      </w:pPr>
      <w:r>
        <w:rPr>
          <w:b/>
        </w:rPr>
        <w:t>Ask:</w:t>
      </w:r>
      <w:r>
        <w:rPr>
          <w:i w:val="0"/>
        </w:rPr>
        <w:t xml:space="preserve"> Is each finding labeled new, confirmatory or refuting, and is every new or refuting finding discussed in Section 18? (Chapter 9)</w:t>
      </w:r>
    </w:p>
    <w:p>
      <w:pPr>
        <w:pStyle w:val="Heading2"/>
      </w:pPr>
      <w:r>
        <w:t>8.1 Completed clinical trials</w:t>
      </w:r>
    </w:p>
    <w:p>
      <w:pPr>
        <w:pStyle w:val="DSURGuidance"/>
        <w:spacing w:before="80"/>
      </w:pPr>
      <w:r>
        <w:rPr>
          <w:b/>
          <w:color w:val="5B7FA6"/>
          <w:sz w:val="16"/>
        </w:rPr>
        <w:t>GUIDANCE (DELETE BEFORE SUBMISSION)</w:t>
      </w:r>
    </w:p>
    <w:p>
      <w:pPr>
        <w:pStyle w:val="DSURGuidance"/>
        <w:spacing w:before="60" w:after="120"/>
      </w:pPr>
      <w:r>
        <w:rPr>
          <w:b/>
        </w:rPr>
        <w:t>If nothing to report (8.1):</w:t>
      </w:r>
      <w:r>
        <w:rPr>
          <w:i w:val="0"/>
        </w:rPr>
        <w:t xml:space="preserve"> No clinical trials were completed during the reporting period.</w:t>
      </w:r>
    </w:p>
    <w:p>
      <w:pPr>
        <w:pStyle w:val="DSURPlaceholder"/>
      </w:pPr>
      <w:r>
        <w:t>[Section 8.1 text.]</w:t>
      </w:r>
    </w:p>
    <w:p>
      <w:pPr>
        <w:pStyle w:val="Heading2"/>
      </w:pPr>
      <w:r>
        <w:t>8.2 Ongoing clinical trials</w:t>
      </w:r>
    </w:p>
    <w:p>
      <w:pPr>
        <w:pStyle w:val="DSURPlaceholder"/>
      </w:pPr>
      <w:r>
        <w:t>[Section 8.2 text.]</w:t>
      </w:r>
    </w:p>
    <w:p>
      <w:pPr>
        <w:pStyle w:val="Heading2"/>
      </w:pPr>
      <w:r>
        <w:t>8.3 Long-term follow-up</w:t>
      </w:r>
    </w:p>
    <w:p>
      <w:pPr>
        <w:pStyle w:val="DSURGuidance"/>
        <w:spacing w:before="80"/>
      </w:pPr>
      <w:r>
        <w:rPr>
          <w:b/>
          <w:color w:val="5B7FA6"/>
          <w:sz w:val="16"/>
        </w:rPr>
        <w:t>GUIDANCE (DELETE BEFORE SUBMISSION)</w:t>
      </w:r>
    </w:p>
    <w:p>
      <w:pPr>
        <w:pStyle w:val="DSURGuidance"/>
        <w:spacing w:before="60" w:after="120"/>
      </w:pPr>
      <w:r>
        <w:rPr>
          <w:b/>
        </w:rPr>
        <w:t>If nothing to report (8.3):</w:t>
      </w:r>
      <w:r>
        <w:rPr>
          <w:i w:val="0"/>
        </w:rPr>
        <w:t xml:space="preserve"> No long-term follow-up studies are part of the development program.</w:t>
      </w:r>
    </w:p>
    <w:p>
      <w:pPr>
        <w:pStyle w:val="DSURPlaceholder"/>
      </w:pPr>
      <w:r>
        <w:t>[Section 8.3 text.]</w:t>
      </w:r>
    </w:p>
    <w:p>
      <w:pPr>
        <w:pStyle w:val="Heading2"/>
      </w:pPr>
      <w:r>
        <w:t>8.4 Other therapeutic use of the investigational drug</w:t>
      </w:r>
    </w:p>
    <w:p>
      <w:pPr>
        <w:pStyle w:val="DSURGuidance"/>
        <w:spacing w:before="80"/>
      </w:pPr>
      <w:r>
        <w:rPr>
          <w:b/>
          <w:color w:val="5B7FA6"/>
          <w:sz w:val="16"/>
        </w:rPr>
        <w:t>GUIDANCE (DELETE BEFORE SUBMISSION)</w:t>
      </w:r>
    </w:p>
    <w:p>
      <w:pPr>
        <w:pStyle w:val="DSURGuidance"/>
        <w:spacing w:before="60" w:after="120"/>
      </w:pPr>
      <w:r>
        <w:rPr>
          <w:b/>
        </w:rPr>
        <w:t>If nothing to report (8.4):</w:t>
      </w:r>
      <w:r>
        <w:rPr>
          <w:i w:val="0"/>
        </w:rPr>
        <w:t xml:space="preserve"> [Drug] was not provided through expanded access, compassionate use or any other program during the reporting period.</w:t>
      </w:r>
    </w:p>
    <w:p>
      <w:pPr>
        <w:pStyle w:val="DSURPlaceholder"/>
      </w:pPr>
      <w:r>
        <w:t>[Section 8.4 text.]</w:t>
      </w:r>
    </w:p>
    <w:p>
      <w:pPr>
        <w:pStyle w:val="Heading2"/>
      </w:pPr>
      <w:r>
        <w:t>8.5 New safety data related to combination therapies</w:t>
      </w:r>
    </w:p>
    <w:p>
      <w:pPr>
        <w:pStyle w:val="DSURPlaceholder"/>
      </w:pPr>
      <w:r>
        <w:t>[Section 8.5 text.]</w:t>
      </w:r>
    </w:p>
    <w:p>
      <w:pPr>
        <w:pStyle w:val="Heading1"/>
      </w:pPr>
      <w:r>
        <w:t>9. Safety findings from non-interventional studies</w:t>
      </w:r>
    </w:p>
    <w:p>
      <w:pPr>
        <w:pStyle w:val="DSURGuidance"/>
        <w:spacing w:before="40"/>
      </w:pPr>
      <w:r>
        <w:rPr>
          <w:i/>
        </w:rPr>
        <w:t>Book: Chapter 7; E2F §3.9</w:t>
      </w:r>
    </w:p>
    <w:p>
      <w:pPr>
        <w:pStyle w:val="DSURGuidance"/>
        <w:spacing w:before="80"/>
      </w:pPr>
      <w:r>
        <w:rPr>
          <w:b/>
          <w:color w:val="5B7FA6"/>
          <w:sz w:val="16"/>
        </w:rPr>
        <w:t>GUIDANCE (DELETE BEFORE SUBMISSION)</w:t>
      </w:r>
    </w:p>
    <w:p>
      <w:pPr>
        <w:pStyle w:val="DSURGuidance"/>
        <w:spacing w:before="60"/>
      </w:pPr>
      <w:r>
        <w:rPr>
          <w:b/>
        </w:rPr>
        <w:t>Logic.</w:t>
      </w:r>
      <w:r>
        <w:rPr>
          <w:i w:val="0"/>
        </w:rPr>
        <w:t xml:space="preserve"> Section 9 answers whether observational studies, epidemiological studies, registries or active surveillance programs produced safety information during the period that bears on trial subjects. It opens Sections 9 to 15, where the report shows that its authors looked beyond their own trials; like the rest of that run, it covers only what became available in the period, not everything known, and leaves interpretation to Section 18 (7.1). Items reach it through the source intake log, and it feeds Section 18.1 and, where an important risk is concerned, Section 19 (7.2; Chapter 7).</w:t>
      </w:r>
    </w:p>
    <w:p>
      <w:pPr>
        <w:pStyle w:val="DSURGuidance"/>
        <w:spacing w:before="60"/>
      </w:pPr>
      <w:r>
        <w:rPr>
          <w:b/>
        </w:rPr>
        <w:t>Message.</w:t>
      </w:r>
      <w:r>
        <w:rPr>
          <w:i w:val="0"/>
        </w:rPr>
        <w:t xml:space="preserve"> Each non-interventional study that reported in the period is given as a safety conclusion, with whether it confirms or contradicts the trial data.</w:t>
      </w:r>
    </w:p>
    <w:p>
      <w:pPr>
        <w:pStyle w:val="DSURGuidance"/>
        <w:spacing w:before="60"/>
      </w:pPr>
      <w:r>
        <w:rPr>
          <w:b/>
        </w:rPr>
        <w:t>Model:</w:t>
      </w:r>
      <w:r>
        <w:rPr>
          <w:i/>
        </w:rPr>
        <w:t xml:space="preserve"> An interim analysis of the [drug] [registry] (n = [n] [exposed pregnancies]) became available in [month year]. [Safety conclusion.] The registry continues. See Section 18.1 for discussion.</w:t>
      </w:r>
    </w:p>
    <w:p>
      <w:pPr>
        <w:pStyle w:val="DSURGuidance"/>
        <w:spacing w:before="60"/>
      </w:pPr>
      <w:r>
        <w:rPr>
          <w:b/>
        </w:rPr>
        <w:t>Anatomy.</w:t>
      </w:r>
      <w:r>
        <w:rPr>
          <w:i w:val="0"/>
        </w:rPr>
      </w:r>
    </w:p>
    <w:p>
      <w:pPr>
        <w:pStyle w:val="DSURGuidanceList"/>
        <w:tabs>
          <w:tab w:pos="539" w:val="left"/>
        </w:tabs>
      </w:pPr>
      <w:r>
        <w:t>1.</w:t>
        <w:tab/>
        <w:t>An opening sentence that states the point (13.6).</w:t>
      </w:r>
    </w:p>
    <w:p>
      <w:pPr>
        <w:pStyle w:val="DSURGuidanceList"/>
        <w:tabs>
          <w:tab w:pos="539" w:val="left"/>
        </w:tabs>
      </w:pPr>
      <w:r>
        <w:t>2.</w:t>
        <w:tab/>
        <w:t>For each study with new information: its name and type, the date the information became available, its size, the safety conclusion, whether it confirms or contradicts the trial data, its status, and a pointer to Section 18.1 (7.3).</w:t>
      </w:r>
    </w:p>
    <w:p>
      <w:pPr>
        <w:pStyle w:val="DSURGuidanceList"/>
        <w:tabs>
          <w:tab w:pos="539" w:val="left"/>
        </w:tabs>
      </w:pPr>
      <w:r>
        <w:t>3.</w:t>
        <w:tab/>
        <w:t>Design details only where the conclusion needs them; a registry described without its results is the failure to avoid (7.9).</w:t>
      </w:r>
    </w:p>
    <w:p>
      <w:pPr>
        <w:pStyle w:val="DSURGuidance"/>
        <w:spacing w:before="60"/>
      </w:pPr>
      <w:r>
        <w:rPr>
          <w:b/>
        </w:rPr>
        <w:t>Level of detail.</w:t>
      </w:r>
      <w:r>
        <w:rPr>
          <w:i w:val="0"/>
        </w:rPr>
      </w:r>
    </w:p>
    <w:p>
      <w:pPr>
        <w:pStyle w:val="DSURGuidanceList"/>
        <w:tabs>
          <w:tab w:pos="539" w:val="left"/>
        </w:tabs>
      </w:pPr>
      <w:r>
        <w:t>•</w:t>
        <w:tab/>
      </w:r>
      <w:r>
        <w:rPr>
          <w:b/>
        </w:rPr>
        <w:t>Marketed drug:</w:t>
      </w:r>
      <w:r>
        <w:t xml:space="preserve"> Case C's pregnancy registry shows the size of an entry: an interim result in a few sentences, with the number exposed, the conclusion and a pointer to Section 18.1 (7.3).</w:t>
      </w:r>
    </w:p>
    <w:p>
      <w:pPr>
        <w:pStyle w:val="DSURGuidanceList"/>
        <w:tabs>
          <w:tab w:pos="539" w:val="left"/>
        </w:tabs>
      </w:pPr>
      <w:r>
        <w:t>•</w:t>
        <w:tab/>
      </w:r>
      <w:r>
        <w:rPr>
          <w:b/>
        </w:rPr>
        <w:t>First DSUR / final DSUR:</w:t>
      </w:r>
      <w:r>
        <w:t xml:space="preserve"> In a first DSUR with nothing to report, one sentence saying so and why, as in Case A; a section marked only "not applicable" is the thin-first-DSUR failure (16.2, 16.10).</w:t>
      </w:r>
    </w:p>
    <w:p>
      <w:pPr>
        <w:pStyle w:val="DSURGuidanceList"/>
        <w:tabs>
          <w:tab w:pos="539" w:val="left"/>
        </w:tabs>
      </w:pPr>
      <w:r>
        <w:t>•</w:t>
        <w:tab/>
      </w:r>
      <w:r>
        <w:rPr>
          <w:b/>
        </w:rPr>
        <w:t>Quiet year:</w:t>
      </w:r>
      <w:r>
        <w:t xml:space="preserve"> Use the empty statement, which says both that no studies were ongoing or completed and that no information became available; a bare "Not applicable" is the weak version (7.4).</w:t>
      </w:r>
    </w:p>
    <w:p>
      <w:pPr>
        <w:pStyle w:val="DSURGuidance"/>
        <w:spacing w:before="60"/>
      </w:pPr>
      <w:r>
        <w:rPr>
          <w:b/>
        </w:rPr>
        <w:t>Ask:</w:t>
      </w:r>
      <w:r>
        <w:rPr>
          <w:i w:val="0"/>
        </w:rPr>
        <w:t xml:space="preserve"> Does each summary give a safety conclusion, not a study description? (Chapter 7)</w:t>
      </w:r>
    </w:p>
    <w:p>
      <w:pPr>
        <w:pStyle w:val="DSURGuidance"/>
        <w:spacing w:before="60" w:after="120"/>
      </w:pPr>
      <w:r>
        <w:rPr>
          <w:b/>
        </w:rPr>
        <w:t>If nothing to report:</w:t>
      </w:r>
      <w:r>
        <w:rPr>
          <w:i w:val="0"/>
        </w:rPr>
        <w:t xml:space="preserve"> No non-interventional studies of [drug] were ongoing or completed during the reporting period, and no safety information from such studies became available to the sponsor.</w:t>
      </w:r>
    </w:p>
    <w:p>
      <w:pPr>
        <w:pStyle w:val="DSURPlaceholder"/>
      </w:pPr>
      <w:r>
        <w:t>[Section 9 text.]</w:t>
      </w:r>
    </w:p>
    <w:p>
      <w:pPr>
        <w:pStyle w:val="Heading1"/>
      </w:pPr>
      <w:r>
        <w:t>10. Other clinical trial and study safety information</w:t>
      </w:r>
    </w:p>
    <w:p>
      <w:pPr>
        <w:pStyle w:val="DSURGuidance"/>
        <w:spacing w:before="40"/>
      </w:pPr>
      <w:r>
        <w:rPr>
          <w:i/>
        </w:rPr>
        <w:t>Book: Chapter 7; E2F §3.10</w:t>
      </w:r>
    </w:p>
    <w:p>
      <w:pPr>
        <w:pStyle w:val="DSURGuidance"/>
        <w:spacing w:before="80"/>
      </w:pPr>
      <w:r>
        <w:rPr>
          <w:b/>
          <w:color w:val="5B7FA6"/>
          <w:sz w:val="16"/>
        </w:rPr>
        <w:t>GUIDANCE (DELETE BEFORE SUBMISSION)</w:t>
      </w:r>
    </w:p>
    <w:p>
      <w:pPr>
        <w:pStyle w:val="DSURGuidance"/>
        <w:spacing w:before="60"/>
      </w:pPr>
      <w:r>
        <w:rPr>
          <w:b/>
        </w:rPr>
        <w:t>Logic.</w:t>
      </w:r>
      <w:r>
        <w:rPr>
          <w:i w:val="0"/>
        </w:rPr>
        <w:t xml:space="preserve"> Section 10 answers what safety information became available in the period from trials and studies outside Section 8: pooled analyses and meta-analyses, co-development partners' data, investigator-initiated trials and, where available, other sponsors' trials. Because it depends on data the DSUR team does not control, the data exchange agreement shapes it (7.5). It works with Section 1, which states what was not received, Section 14, which compares the other DSURs' conclusions, and Section 18, which says what can and cannot be concluded (7.5).</w:t>
      </w:r>
    </w:p>
    <w:p>
      <w:pPr>
        <w:pStyle w:val="DSURGuidance"/>
        <w:spacing w:before="60"/>
      </w:pPr>
      <w:r>
        <w:rPr>
          <w:b/>
        </w:rPr>
        <w:t>Message.</w:t>
      </w:r>
      <w:r>
        <w:rPr>
          <w:i w:val="0"/>
        </w:rPr>
        <w:t xml:space="preserve"> The reader learns what was received from outside the sponsor's own trials, what could not be obtained, and what the missing data prevent.</w:t>
      </w:r>
    </w:p>
    <w:p>
      <w:pPr>
        <w:pStyle w:val="DSURGuidance"/>
        <w:spacing w:before="60"/>
      </w:pPr>
      <w:r>
        <w:rPr>
          <w:b/>
        </w:rPr>
        <w:t>Model:</w:t>
      </w:r>
      <w:r>
        <w:rPr>
          <w:i/>
        </w:rPr>
        <w:t xml:space="preserve"> [Partner]'s DSUR for [drug] in [indication] (period ending [date]) reported [n] cases of [event], [n] serious, in trial [ID]. Exposure data were not provided; rates cannot be calculated. The finding is evaluated in Section 18.1.</w:t>
      </w:r>
    </w:p>
    <w:p>
      <w:pPr>
        <w:pStyle w:val="DSURGuidance"/>
        <w:spacing w:before="60"/>
      </w:pPr>
      <w:r>
        <w:rPr>
          <w:b/>
        </w:rPr>
        <w:t>Anatomy.</w:t>
      </w:r>
      <w:r>
        <w:rPr>
          <w:i w:val="0"/>
        </w:rPr>
      </w:r>
    </w:p>
    <w:p>
      <w:pPr>
        <w:pStyle w:val="DSURGuidanceList"/>
        <w:tabs>
          <w:tab w:pos="539" w:val="left"/>
        </w:tabs>
      </w:pPr>
      <w:r>
        <w:t>1.</w:t>
        <w:tab/>
        <w:t>What was received in the period, by source: pooled analyses and meta-analyses, partner data, investigator-initiated trials, other sponsors' trials (E2F §3.10).</w:t>
      </w:r>
    </w:p>
    <w:p>
      <w:pPr>
        <w:pStyle w:val="DSURGuidanceList"/>
        <w:tabs>
          <w:tab w:pos="539" w:val="left"/>
        </w:tabs>
      </w:pPr>
      <w:r>
        <w:t>2.</w:t>
        <w:tab/>
        <w:t>For each item: the source and its period or date, the finding with counts, rates only where exposure was provided, and a pointer to Section 18.1 (7.3).</w:t>
      </w:r>
    </w:p>
    <w:p>
      <w:pPr>
        <w:pStyle w:val="DSURGuidanceList"/>
        <w:tabs>
          <w:tab w:pos="539" w:val="left"/>
        </w:tabs>
      </w:pPr>
      <w:r>
        <w:t>3.</w:t>
        <w:tab/>
        <w:t>What was not received and what that prevents, consistent with the gap statement in Section 1 (7.5).</w:t>
      </w:r>
    </w:p>
    <w:p>
      <w:pPr>
        <w:pStyle w:val="DSURGuidance"/>
        <w:spacing w:before="60"/>
      </w:pPr>
      <w:r>
        <w:rPr>
          <w:b/>
        </w:rPr>
        <w:t>Level of detail.</w:t>
      </w:r>
      <w:r>
        <w:rPr>
          <w:i w:val="0"/>
        </w:rPr>
      </w:r>
    </w:p>
    <w:p>
      <w:pPr>
        <w:pStyle w:val="DSURGuidanceList"/>
        <w:tabs>
          <w:tab w:pos="539" w:val="left"/>
        </w:tabs>
      </w:pPr>
      <w:r>
        <w:t>•</w:t>
        <w:tab/>
      </w:r>
      <w:r>
        <w:rPr>
          <w:b/>
        </w:rPr>
        <w:t>Partnered development:</w:t>
      </w:r>
      <w:r>
        <w:t xml:space="preserve"> Give the partner's cases as counts without rates when exposure is not provided, and do not estimate exposure from case counts; the partner's conclusions go in Section 14, not here (5.9, 7.5).</w:t>
      </w:r>
    </w:p>
    <w:p>
      <w:pPr>
        <w:pStyle w:val="DSURGuidanceList"/>
        <w:tabs>
          <w:tab w:pos="539" w:val="left"/>
        </w:tabs>
      </w:pPr>
      <w:r>
        <w:t>•</w:t>
        <w:tab/>
      </w:r>
      <w:r>
        <w:rPr>
          <w:b/>
        </w:rPr>
        <w:t>Quiet year:</w:t>
      </w:r>
      <w:r>
        <w:t xml:space="preserve"> One sentence that no information became available, using the wording below (7.4).</w:t>
      </w:r>
    </w:p>
    <w:p>
      <w:pPr>
        <w:pStyle w:val="DSURGuidance"/>
        <w:spacing w:before="60"/>
      </w:pPr>
      <w:r>
        <w:rPr>
          <w:b/>
        </w:rPr>
        <w:t>Ask:</w:t>
      </w:r>
      <w:r>
        <w:rPr>
          <w:i w:val="0"/>
        </w:rPr>
        <w:t xml:space="preserve"> Does the section say what was received and what could not be obtained? (Chapter 7)</w:t>
      </w:r>
    </w:p>
    <w:p>
      <w:pPr>
        <w:pStyle w:val="DSURGuidance"/>
        <w:spacing w:before="60" w:after="120"/>
      </w:pPr>
      <w:r>
        <w:rPr>
          <w:b/>
        </w:rPr>
        <w:t>If nothing to report:</w:t>
      </w:r>
      <w:r>
        <w:rPr>
          <w:i w:val="0"/>
        </w:rPr>
        <w:t xml:space="preserve"> No safety information from other clinical trials or studies became available to the sponsor during the reporting period.</w:t>
      </w:r>
    </w:p>
    <w:p>
      <w:pPr>
        <w:pStyle w:val="DSURPlaceholder"/>
      </w:pPr>
      <w:r>
        <w:t>[Section 10 text.]</w:t>
      </w:r>
    </w:p>
    <w:p>
      <w:pPr>
        <w:pStyle w:val="Heading1"/>
      </w:pPr>
      <w:r>
        <w:t>11. Safety findings from marketing experience</w:t>
      </w:r>
    </w:p>
    <w:p>
      <w:pPr>
        <w:pStyle w:val="DSURGuidance"/>
        <w:spacing w:before="40"/>
      </w:pPr>
      <w:r>
        <w:rPr>
          <w:i/>
        </w:rPr>
        <w:t>Book: Chapters 7 and 16; E2F §3.11</w:t>
      </w:r>
    </w:p>
    <w:p>
      <w:pPr>
        <w:pStyle w:val="DSURGuidance"/>
        <w:spacing w:before="80"/>
      </w:pPr>
      <w:r>
        <w:rPr>
          <w:b/>
          <w:color w:val="5B7FA6"/>
          <w:sz w:val="16"/>
        </w:rPr>
        <w:t>GUIDANCE (DELETE BEFORE SUBMISSION)</w:t>
      </w:r>
    </w:p>
    <w:p>
      <w:pPr>
        <w:pStyle w:val="DSURGuidance"/>
        <w:spacing w:before="60"/>
      </w:pPr>
      <w:r>
        <w:rPr>
          <w:b/>
        </w:rPr>
        <w:t>Logic.</w:t>
      </w:r>
      <w:r>
        <w:rPr>
          <w:i w:val="0"/>
        </w:rPr>
        <w:t xml:space="preserve"> For a marketed drug, Section 11 links the DSUR to the PBRER and answers whether marketed use showed anything during the period that bears on trial subjects, especially where they receive the same regimen. It draws on the most recent PBRER and on signals under evaluation after its data lock point; cases from marketed use are summarized here, while cases from the sponsor's trials stay in the listings (7.3, 16.7). It feeds Section 3 when a label change or other action follows, Section 18.1, which assesses the issue as the PBRER does unless the populations differ, and Section 19 (8.7, 16.7).</w:t>
      </w:r>
    </w:p>
    <w:p>
      <w:pPr>
        <w:pStyle w:val="DSURGuidance"/>
        <w:spacing w:before="60"/>
      </w:pPr>
      <w:r>
        <w:rPr>
          <w:b/>
        </w:rPr>
        <w:t>Message.</w:t>
      </w:r>
      <w:r>
        <w:rPr>
          <w:i w:val="0"/>
        </w:rPr>
        <w:t xml:space="preserve"> What marketed use showed in the period is described as the PBRER describes it, with its relevance to the trials stated.</w:t>
      </w:r>
    </w:p>
    <w:p>
      <w:pPr>
        <w:pStyle w:val="DSURGuidance"/>
        <w:spacing w:before="60"/>
      </w:pPr>
      <w:r>
        <w:rPr>
          <w:b/>
        </w:rPr>
        <w:t>Model:</w:t>
      </w:r>
      <w:r>
        <w:rPr>
          <w:i/>
        </w:rPr>
        <w:t xml:space="preserve"> Marketing experience in the period included [n] reports of [event] [in what setting], [n] associated with [outcome]. The label was updated in [month year]. Trial [ID] uses the same regimen; protocol measures are discussed in Sections 3 and 18.</w:t>
      </w:r>
    </w:p>
    <w:p>
      <w:pPr>
        <w:pStyle w:val="DSURGuidance"/>
        <w:spacing w:before="60"/>
      </w:pPr>
      <w:r>
        <w:rPr>
          <w:b/>
        </w:rPr>
        <w:t>Anatomy.</w:t>
      </w:r>
      <w:r>
        <w:rPr>
          <w:i w:val="0"/>
        </w:rPr>
      </w:r>
    </w:p>
    <w:p>
      <w:pPr>
        <w:pStyle w:val="DSURGuidanceList"/>
        <w:tabs>
          <w:tab w:pos="539" w:val="left"/>
        </w:tabs>
      </w:pPr>
      <w:r>
        <w:t>1.</w:t>
        <w:tab/>
        <w:t>The sources: the most recent PBRER and any signals evaluated since its data lock point (E2F §3.11; 7.3).</w:t>
      </w:r>
    </w:p>
    <w:p>
      <w:pPr>
        <w:pStyle w:val="DSURGuidanceList"/>
        <w:tabs>
          <w:tab w:pos="539" w:val="left"/>
        </w:tabs>
      </w:pPr>
      <w:r>
        <w:t>2.</w:t>
        <w:tab/>
        <w:t>The findings that bear on the trials, particularly any that changed the label, IB, consent or risk management plan, including off-label use, special populations such as pregnancy, medication errors, overdose and abuse (7.1).</w:t>
      </w:r>
    </w:p>
    <w:p>
      <w:pPr>
        <w:pStyle w:val="DSURGuidanceList"/>
        <w:tabs>
          <w:tab w:pos="539" w:val="left"/>
        </w:tabs>
      </w:pPr>
      <w:r>
        <w:t>3.</w:t>
        <w:tab/>
        <w:t>For each finding: the number of reports and their outcomes, any action taken and its date, whether trial subjects receive the same regimen, and pointers to Sections 3 and 18 (7.3).</w:t>
      </w:r>
    </w:p>
    <w:p>
      <w:pPr>
        <w:pStyle w:val="DSURGuidanceList"/>
        <w:tabs>
          <w:tab w:pos="539" w:val="left"/>
        </w:tabs>
      </w:pPr>
      <w:r>
        <w:t>4.</w:t>
        <w:tab/>
        <w:t>Where a case could be counted in both the marketed and the trial sources, a statement saying so; no case is counted twice silently (16.7).</w:t>
      </w:r>
    </w:p>
    <w:p>
      <w:pPr>
        <w:pStyle w:val="DSURGuidance"/>
        <w:spacing w:before="60"/>
      </w:pPr>
      <w:r>
        <w:rPr>
          <w:b/>
        </w:rPr>
        <w:t>Level of detail.</w:t>
      </w:r>
      <w:r>
        <w:rPr>
          <w:i w:val="0"/>
        </w:rPr>
      </w:r>
    </w:p>
    <w:p>
      <w:pPr>
        <w:pStyle w:val="DSURGuidanceList"/>
        <w:tabs>
          <w:tab w:pos="539" w:val="left"/>
        </w:tabs>
      </w:pPr>
      <w:r>
        <w:t>•</w:t>
        <w:tab/>
      </w:r>
      <w:r>
        <w:rPr>
          <w:b/>
        </w:rPr>
        <w:t>Early development (few subjects):</w:t>
      </w:r>
      <w:r>
        <w:t xml:space="preserve"> Not applicable before approval; use the wording below, consistent with Section 2.</w:t>
      </w:r>
    </w:p>
    <w:p>
      <w:pPr>
        <w:pStyle w:val="DSURGuidanceList"/>
        <w:tabs>
          <w:tab w:pos="539" w:val="left"/>
        </w:tabs>
      </w:pPr>
      <w:r>
        <w:t>•</w:t>
        <w:tab/>
      </w:r>
      <w:r>
        <w:rPr>
          <w:b/>
        </w:rPr>
        <w:t>Marketed drug:</w:t>
      </w:r>
      <w:r>
        <w:t xml:space="preserve"> A short paragraph per finding that bears on the trials, with counts, outcomes and the action taken; an issue the PBRER assessed is described the same way here, or both reports say why the populations justify a difference (7.3, 16.7). The first DSUR after approval adds Section 11 content for the first time (2.7).</w:t>
      </w:r>
    </w:p>
    <w:p>
      <w:pPr>
        <w:pStyle w:val="DSURGuidanceList"/>
        <w:tabs>
          <w:tab w:pos="539" w:val="left"/>
        </w:tabs>
      </w:pPr>
      <w:r>
        <w:t>•</w:t>
        <w:tab/>
      </w:r>
      <w:r>
        <w:rPr>
          <w:b/>
        </w:rPr>
        <w:t>Quiet year:</w:t>
      </w:r>
      <w:r>
        <w:t xml:space="preserve"> Write that marketed use produced no new safety findings only after checking the PBRER and any later signals; Case C's DSUR said exactly that while its PBRER team was investigating medication errors (Chapter 7 opening scenario, 7.9).</w:t>
      </w:r>
    </w:p>
    <w:p>
      <w:pPr>
        <w:pStyle w:val="DSURGuidance"/>
        <w:spacing w:before="60"/>
      </w:pPr>
      <w:r>
        <w:rPr>
          <w:b/>
        </w:rPr>
        <w:t>Ask:</w:t>
      </w:r>
      <w:r>
        <w:rPr>
          <w:i w:val="0"/>
        </w:rPr>
        <w:t xml:space="preserve"> Has the DSUR team seen everything the PBRER team has been evaluating? (Chapters 7 and 16)</w:t>
      </w:r>
    </w:p>
    <w:p>
      <w:pPr>
        <w:pStyle w:val="DSURGuidance"/>
        <w:spacing w:before="60" w:after="120"/>
      </w:pPr>
      <w:r>
        <w:rPr>
          <w:b/>
        </w:rPr>
        <w:t>If nothing to report:</w:t>
      </w:r>
      <w:r>
        <w:rPr>
          <w:i w:val="0"/>
        </w:rPr>
        <w:t xml:space="preserve"> [Drug] is not marketed in any country.</w:t>
      </w:r>
    </w:p>
    <w:p>
      <w:pPr>
        <w:pStyle w:val="DSURPlaceholder"/>
      </w:pPr>
      <w:r>
        <w:t>[Section 11 text.]</w:t>
      </w:r>
    </w:p>
    <w:p>
      <w:pPr>
        <w:pStyle w:val="Heading1"/>
      </w:pPr>
      <w:r>
        <w:t>12. Non-clinical data</w:t>
      </w:r>
    </w:p>
    <w:p>
      <w:pPr>
        <w:pStyle w:val="DSURGuidance"/>
        <w:spacing w:before="40"/>
      </w:pPr>
      <w:r>
        <w:rPr>
          <w:i/>
        </w:rPr>
        <w:t>Book: Chapter 7; E2F §3.12</w:t>
      </w:r>
    </w:p>
    <w:p>
      <w:pPr>
        <w:pStyle w:val="DSURGuidance"/>
        <w:spacing w:before="80"/>
      </w:pPr>
      <w:r>
        <w:rPr>
          <w:b/>
          <w:color w:val="5B7FA6"/>
          <w:sz w:val="16"/>
        </w:rPr>
        <w:t>GUIDANCE (DELETE BEFORE SUBMISSION)</w:t>
      </w:r>
    </w:p>
    <w:p>
      <w:pPr>
        <w:pStyle w:val="DSURGuidance"/>
        <w:spacing w:before="60"/>
      </w:pPr>
      <w:r>
        <w:rPr>
          <w:b/>
        </w:rPr>
        <w:t>Logic.</w:t>
      </w:r>
      <w:r>
        <w:rPr>
          <w:i w:val="0"/>
        </w:rPr>
        <w:t xml:space="preserve"> Section 12 answers whether nonclinical in vivo or in vitro studies ongoing or completed in the period produced major findings, such as carcinogenicity, reproductive toxicity or immunotoxicity. E2F says explicitly that the implications belong in Section 18, so this section reports and Section 18.1 interprets each finding for trial subjects (7.1, 10.6). Its findings can also support a Section 19 entry, an IB change in Section 4 and an action in Section 3 (7.3; Appendix E, Chapters 1 and 8).</w:t>
      </w:r>
    </w:p>
    <w:p>
      <w:pPr>
        <w:pStyle w:val="DSURGuidance"/>
        <w:spacing w:before="60"/>
      </w:pPr>
      <w:r>
        <w:rPr>
          <w:b/>
        </w:rPr>
        <w:t>Message.</w:t>
      </w:r>
      <w:r>
        <w:rPr>
          <w:i w:val="0"/>
        </w:rPr>
        <w:t xml:space="preserve"> Each major nonclinical finding of the period is stated with the exposure at which it occurred and a pointer to where Section 18 interprets it.</w:t>
      </w:r>
    </w:p>
    <w:p>
      <w:pPr>
        <w:pStyle w:val="DSURGuidance"/>
        <w:spacing w:before="60"/>
      </w:pPr>
      <w:r>
        <w:rPr>
          <w:b/>
        </w:rPr>
        <w:t>Model:</w:t>
      </w:r>
      <w:r>
        <w:rPr>
          <w:i/>
        </w:rPr>
        <w:t xml:space="preserve"> The [duration] [species] toxicity study of [drug] completed in the period. [Finding] was observed at exposures [n] times the human exposure at [dose]. The findings are discussed in Section 18.1 and in the Summary of Important Risks ([risk]).</w:t>
      </w:r>
    </w:p>
    <w:p>
      <w:pPr>
        <w:pStyle w:val="DSURGuidance"/>
        <w:spacing w:before="60"/>
      </w:pPr>
      <w:r>
        <w:rPr>
          <w:b/>
        </w:rPr>
        <w:t>Anatomy.</w:t>
      </w:r>
      <w:r>
        <w:rPr>
          <w:i w:val="0"/>
        </w:rPr>
      </w:r>
    </w:p>
    <w:p>
      <w:pPr>
        <w:pStyle w:val="DSURGuidanceList"/>
        <w:tabs>
          <w:tab w:pos="539" w:val="left"/>
        </w:tabs>
      </w:pPr>
      <w:r>
        <w:t>1.</w:t>
        <w:tab/>
        <w:t>An opening sentence that states the point, not a description of the studies (13.6).</w:t>
      </w:r>
    </w:p>
    <w:p>
      <w:pPr>
        <w:pStyle w:val="DSURGuidanceList"/>
        <w:tabs>
          <w:tab w:pos="539" w:val="left"/>
        </w:tabs>
      </w:pPr>
      <w:r>
        <w:t>2.</w:t>
        <w:tab/>
        <w:t>For each major finding: the study, whether it is ongoing or completed, the finding, the exposure relative to human exposure at the clinical dose, and pointers to Section 18.1 and any Section 19 entry (7.3).</w:t>
      </w:r>
    </w:p>
    <w:p>
      <w:pPr>
        <w:pStyle w:val="DSURGuidanceList"/>
        <w:tabs>
          <w:tab w:pos="539" w:val="left"/>
        </w:tabs>
      </w:pPr>
      <w:r>
        <w:t>3.</w:t>
        <w:tab/>
        <w:t>Studies still ongoing, listed.</w:t>
      </w:r>
    </w:p>
    <w:p>
      <w:pPr>
        <w:pStyle w:val="DSURGuidanceList"/>
        <w:tabs>
          <w:tab w:pos="539" w:val="left"/>
        </w:tabs>
      </w:pPr>
      <w:r>
        <w:t>4.</w:t>
        <w:tab/>
        <w:t>No interpretation; that is Section 18's job (E2F §3.12).</w:t>
      </w:r>
    </w:p>
    <w:p>
      <w:pPr>
        <w:pStyle w:val="DSURGuidance"/>
        <w:spacing w:before="60"/>
      </w:pPr>
      <w:r>
        <w:rPr>
          <w:b/>
        </w:rPr>
        <w:t>Level of detail.</w:t>
      </w:r>
      <w:r>
        <w:rPr>
          <w:i w:val="0"/>
        </w:rPr>
      </w:r>
    </w:p>
    <w:p>
      <w:pPr>
        <w:pStyle w:val="DSURGuidanceList"/>
        <w:tabs>
          <w:tab w:pos="539" w:val="left"/>
        </w:tabs>
      </w:pPr>
      <w:r>
        <w:t>•</w:t>
        <w:tab/>
      </w:r>
      <w:r>
        <w:rPr>
          <w:b/>
        </w:rPr>
        <w:t>Early development (few subjects):</w:t>
      </w:r>
      <w:r>
        <w:t xml:space="preserve"> With little human data, the risk list is built largely from nonclinical findings, the mechanism and the class (16.2), so give each major finding with its exposure margin and the Section 19 entry it supports (7.3).</w:t>
      </w:r>
    </w:p>
    <w:p>
      <w:pPr>
        <w:pStyle w:val="DSURGuidanceList"/>
        <w:tabs>
          <w:tab w:pos="539" w:val="left"/>
        </w:tabs>
      </w:pPr>
      <w:r>
        <w:t>•</w:t>
        <w:tab/>
      </w:r>
      <w:r>
        <w:rPr>
          <w:b/>
        </w:rPr>
        <w:t>Quiet year:</w:t>
      </w:r>
      <w:r>
        <w:t xml:space="preserve"> One sentence that opens with the point, such as "No new non-clinical findings of clinical relevance became available during the period," with ongoing studies listed (13.6). Section 18.1 then needs only one line for this point (10.9).</w:t>
      </w:r>
    </w:p>
    <w:p>
      <w:pPr>
        <w:pStyle w:val="DSURGuidance"/>
        <w:spacing w:before="60"/>
      </w:pPr>
      <w:r>
        <w:rPr>
          <w:b/>
        </w:rPr>
        <w:t>Ask:</w:t>
      </w:r>
      <w:r>
        <w:rPr>
          <w:i w:val="0"/>
        </w:rPr>
        <w:t xml:space="preserve"> Has each finding been assessed for its implication for trial subjects in Section 18? (Chapter 7)</w:t>
      </w:r>
    </w:p>
    <w:p>
      <w:pPr>
        <w:pStyle w:val="DSURGuidance"/>
        <w:spacing w:before="60" w:after="120"/>
      </w:pPr>
      <w:r>
        <w:rPr>
          <w:b/>
        </w:rPr>
        <w:t>If nothing to report:</w:t>
      </w:r>
      <w:r>
        <w:rPr>
          <w:i w:val="0"/>
        </w:rPr>
        <w:t xml:space="preserve"> No nonclinical studies with findings relevant to human safety were completed during the reporting period. [Studies ongoing: list.]</w:t>
      </w:r>
    </w:p>
    <w:p>
      <w:pPr>
        <w:pStyle w:val="DSURPlaceholder"/>
      </w:pPr>
      <w:r>
        <w:t>[Section 12 text.]</w:t>
      </w:r>
    </w:p>
    <w:p>
      <w:pPr>
        <w:pStyle w:val="Heading1"/>
      </w:pPr>
      <w:r>
        <w:t>13. Literature</w:t>
      </w:r>
    </w:p>
    <w:p>
      <w:pPr>
        <w:pStyle w:val="DSURGuidance"/>
        <w:spacing w:before="40"/>
      </w:pPr>
      <w:r>
        <w:rPr>
          <w:i/>
        </w:rPr>
        <w:t>Book: Chapter 7; E2F §3.13</w:t>
      </w:r>
    </w:p>
    <w:p>
      <w:pPr>
        <w:pStyle w:val="DSURGuidance"/>
        <w:spacing w:before="80"/>
      </w:pPr>
      <w:r>
        <w:rPr>
          <w:b/>
          <w:color w:val="5B7FA6"/>
          <w:sz w:val="16"/>
        </w:rPr>
        <w:t>GUIDANCE (DELETE BEFORE SUBMISSION)</w:t>
      </w:r>
    </w:p>
    <w:p>
      <w:pPr>
        <w:pStyle w:val="DSURGuidance"/>
        <w:spacing w:before="60"/>
      </w:pPr>
      <w:r>
        <w:rPr>
          <w:b/>
        </w:rPr>
        <w:t>Logic.</w:t>
      </w:r>
      <w:r>
        <w:rPr>
          <w:i w:val="0"/>
        </w:rPr>
        <w:t xml:space="preserve"> Section 13 answers whether published or unpublished work in the period, including meeting abstracts, reported new and significant safety findings for the drug or for other drugs of its class. Assessors often know the outside literature, so the section must show a search a reader can judge; it is short in most DSURs but easy to check (Chapter 7; 7.6). Each relevant finding goes to the intake log and, if it bears on a risk, to Section 18.1, where class effects are one of the points considered; a class finding may lead to a decision recorded in Section 19 (7.6, 7.7, 10.6).</w:t>
      </w:r>
    </w:p>
    <w:p>
      <w:pPr>
        <w:pStyle w:val="DSURGuidance"/>
        <w:spacing w:before="60"/>
      </w:pPr>
      <w:r>
        <w:rPr>
          <w:b/>
        </w:rPr>
        <w:t>Message.</w:t>
      </w:r>
      <w:r>
        <w:rPr>
          <w:i w:val="0"/>
        </w:rPr>
        <w:t xml:space="preserve"> The search is described well enough for a reader to judge its reach, and only new and significant safety findings for the drug and its class are reported.</w:t>
      </w:r>
    </w:p>
    <w:p>
      <w:pPr>
        <w:pStyle w:val="DSURGuidance"/>
        <w:spacing w:before="60"/>
      </w:pPr>
      <w:r>
        <w:rPr>
          <w:b/>
        </w:rPr>
        <w:t>Model:</w:t>
      </w:r>
      <w:r>
        <w:rPr>
          <w:i/>
        </w:rPr>
        <w:t xml:space="preserve"> A search of MEDLINE and Embase for [substance names and codes] and [class terms], limited to [start date] to [end date], identified [n] publications, of which [n] reported safety information. [Summary of significant findings, with references.] No other new safety findings for [drug] or its class were identified. The search strategy is available on request.</w:t>
      </w:r>
    </w:p>
    <w:p>
      <w:pPr>
        <w:pStyle w:val="DSURGuidance"/>
        <w:spacing w:before="60"/>
      </w:pPr>
      <w:r>
        <w:rPr>
          <w:b/>
        </w:rPr>
        <w:t>Anatomy.</w:t>
      </w:r>
      <w:r>
        <w:rPr>
          <w:i w:val="0"/>
        </w:rPr>
      </w:r>
    </w:p>
    <w:p>
      <w:pPr>
        <w:pStyle w:val="DSURGuidanceList"/>
        <w:tabs>
          <w:tab w:pos="539" w:val="left"/>
        </w:tabs>
      </w:pPr>
      <w:r>
        <w:t>1.</w:t>
        <w:tab/>
        <w:t>The search: databases, terms (substance names and codes, class and mechanism, safety topics under evaluation) and dates matching the reporting period; the full strategy is kept in the DSUR file (7.6).</w:t>
      </w:r>
    </w:p>
    <w:p>
      <w:pPr>
        <w:pStyle w:val="DSURGuidanceList"/>
        <w:tabs>
          <w:tab w:pos="539" w:val="left"/>
        </w:tabs>
      </w:pPr>
      <w:r>
        <w:t>2.</w:t>
        <w:tab/>
        <w:t>The yield: publications identified and the number reporting safety information.</w:t>
      </w:r>
    </w:p>
    <w:p>
      <w:pPr>
        <w:pStyle w:val="DSURGuidanceList"/>
        <w:tabs>
          <w:tab w:pos="539" w:val="left"/>
        </w:tabs>
      </w:pPr>
      <w:r>
        <w:t>3.</w:t>
        <w:tab/>
        <w:t>The significant findings, with references: new findings, findings that confirm or refute a known risk, and class findings that could apply, each saying whether the event has been seen with this drug and pointing to Section 18.1 (7.3, 7.6).</w:t>
      </w:r>
    </w:p>
    <w:p>
      <w:pPr>
        <w:pStyle w:val="DSURGuidanceList"/>
        <w:tabs>
          <w:tab w:pos="539" w:val="left"/>
        </w:tabs>
      </w:pPr>
      <w:r>
        <w:t>4.</w:t>
        <w:tab/>
        <w:t>A closing statement that no other new safety findings were identified.</w:t>
      </w:r>
    </w:p>
    <w:p>
      <w:pPr>
        <w:pStyle w:val="DSURGuidanceList"/>
        <w:tabs>
          <w:tab w:pos="539" w:val="left"/>
        </w:tabs>
      </w:pPr>
      <w:r>
        <w:t>5.</w:t>
        <w:tab/>
        <w:t>Copies of abstracts where possible (E2F §3.13; 7.6).</w:t>
      </w:r>
    </w:p>
    <w:p>
      <w:pPr>
        <w:pStyle w:val="DSURGuidance"/>
        <w:spacing w:before="60"/>
      </w:pPr>
      <w:r>
        <w:rPr>
          <w:b/>
        </w:rPr>
        <w:t>Level of detail.</w:t>
      </w:r>
      <w:r>
        <w:rPr>
          <w:i w:val="0"/>
        </w:rPr>
      </w:r>
    </w:p>
    <w:p>
      <w:pPr>
        <w:pStyle w:val="DSURGuidanceList"/>
        <w:tabs>
          <w:tab w:pos="539" w:val="left"/>
        </w:tabs>
      </w:pPr>
      <w:r>
        <w:t>•</w:t>
        <w:tab/>
      </w:r>
      <w:r>
        <w:rPr>
          <w:b/>
        </w:rPr>
        <w:t>Early development (few subjects):</w:t>
      </w:r>
      <w:r>
        <w:t xml:space="preserve"> A class finding with no case in the program is still reported, with the number of subjects treated and the statement that no case has been observed; it needs a decision, not only a mention (7.7; Appendix E, Chapter 7).</w:t>
      </w:r>
    </w:p>
    <w:p>
      <w:pPr>
        <w:pStyle w:val="DSURGuidanceList"/>
        <w:tabs>
          <w:tab w:pos="539" w:val="left"/>
        </w:tabs>
      </w:pPr>
      <w:r>
        <w:t>•</w:t>
        <w:tab/>
      </w:r>
      <w:r>
        <w:rPr>
          <w:b/>
        </w:rPr>
        <w:t>First DSUR / final DSUR:</w:t>
      </w:r>
      <w:r>
        <w:t xml:space="preserve"> A first DSUR may have no literature on the drug itself (16.2); the class search is still run and described, so the empty statement shows what was looked for (7.4, 7.6).</w:t>
      </w:r>
    </w:p>
    <w:p>
      <w:pPr>
        <w:pStyle w:val="DSURGuidanceList"/>
        <w:tabs>
          <w:tab w:pos="539" w:val="left"/>
        </w:tabs>
      </w:pPr>
      <w:r>
        <w:t>•</w:t>
        <w:tab/>
      </w:r>
      <w:r>
        <w:rPr>
          <w:b/>
        </w:rPr>
        <w:t>Quiet year:</w:t>
      </w:r>
      <w:r>
        <w:t xml:space="preserve"> Short: the dated search description and one sentence that nothing new was found. An undated search is the common failure (7.6, 7.9).</w:t>
      </w:r>
    </w:p>
    <w:p>
      <w:pPr>
        <w:pStyle w:val="DSURGuidance"/>
        <w:spacing w:before="60"/>
      </w:pPr>
      <w:r>
        <w:rPr>
          <w:b/>
        </w:rPr>
        <w:t>Ask:</w:t>
      </w:r>
      <w:r>
        <w:rPr>
          <w:i w:val="0"/>
        </w:rPr>
        <w:t xml:space="preserve"> Was the search wide enough to find class effects, and is each relevant finding carried into Section 18? (Chapter 7)</w:t>
      </w:r>
    </w:p>
    <w:p>
      <w:pPr>
        <w:pStyle w:val="DSURGuidance"/>
        <w:spacing w:before="60" w:after="120"/>
      </w:pPr>
      <w:r>
        <w:rPr>
          <w:b/>
        </w:rPr>
        <w:t>If nothing to report:</w:t>
      </w:r>
      <w:r>
        <w:rPr>
          <w:i w:val="0"/>
        </w:rPr>
        <w:t xml:space="preserve"> A search of [databases] for [terms] from [date] to [date] identified no publications reporting new safety findings for [drug] or for other drugs of its class.</w:t>
      </w:r>
    </w:p>
    <w:p>
      <w:pPr>
        <w:pStyle w:val="DSURPlaceholder"/>
      </w:pPr>
      <w:r>
        <w:t>[Section 13 text.]</w:t>
      </w:r>
    </w:p>
    <w:p>
      <w:pPr>
        <w:pStyle w:val="Heading1"/>
      </w:pPr>
      <w:r>
        <w:t>14. Other DSURs</w:t>
      </w:r>
    </w:p>
    <w:p>
      <w:pPr>
        <w:pStyle w:val="DSURGuidance"/>
        <w:spacing w:before="40"/>
      </w:pPr>
      <w:r>
        <w:rPr>
          <w:i/>
        </w:rPr>
        <w:t>Book: Chapters 2 and 7; E2F §3.14</w:t>
      </w:r>
    </w:p>
    <w:p>
      <w:pPr>
        <w:pStyle w:val="DSURGuidance"/>
        <w:spacing w:before="80"/>
      </w:pPr>
      <w:r>
        <w:rPr>
          <w:b/>
          <w:color w:val="5B7FA6"/>
          <w:sz w:val="16"/>
        </w:rPr>
        <w:t>GUIDANCE (DELETE BEFORE SUBMISSION)</w:t>
      </w:r>
    </w:p>
    <w:p>
      <w:pPr>
        <w:pStyle w:val="DSURGuidance"/>
        <w:spacing w:before="60"/>
      </w:pPr>
      <w:r>
        <w:rPr>
          <w:b/>
        </w:rPr>
        <w:t>Logic.</w:t>
      </w:r>
      <w:r>
        <w:rPr>
          <w:i w:val="0"/>
        </w:rPr>
        <w:t xml:space="preserve"> Section 14 answers what other DSURs for the same drug, the sponsor's own or another sponsor's where available, found, where those findings are not presented elsewhere in this report. It is the second obligation of a multiple-DSUR program, after the rationale in Section 1, and the one such programs most often fail; findings from a combination's own DSUR go in Section 8.5 instead (2.4, 9.7). With the data in Section 10 and the evaluation in Section 18, what Section 14 adds is the comparison of conclusions, which keeps two programs or two sponsors from telling regulators different stories (7.8).</w:t>
      </w:r>
    </w:p>
    <w:p>
      <w:pPr>
        <w:pStyle w:val="DSURGuidance"/>
        <w:spacing w:before="60"/>
      </w:pPr>
      <w:r>
        <w:rPr>
          <w:b/>
        </w:rPr>
        <w:t>Message.</w:t>
      </w:r>
      <w:r>
        <w:rPr>
          <w:i w:val="0"/>
        </w:rPr>
        <w:t xml:space="preserve"> The reader learns what each other DSUR for the substance concluded and whether this report agrees, with any difference explained.</w:t>
      </w:r>
    </w:p>
    <w:p>
      <w:pPr>
        <w:pStyle w:val="DSURGuidance"/>
        <w:spacing w:before="60"/>
      </w:pPr>
      <w:r>
        <w:rPr>
          <w:b/>
        </w:rPr>
        <w:t>Model:</w:t>
      </w:r>
      <w:r>
        <w:rPr>
          <w:i/>
        </w:rPr>
        <w:t xml:space="preserve"> [Partner] prepares a separate DSUR for [drug] in [indication] (Section 1). Its report for the period ending [date] identified [finding], based on [n] cases, [n] serious, in [trial]. The finding is evaluated in Section 18.1. [Partner]'s report concluded that [conclusion]; this report reaches [the same / a different] conclusion for [program] [, because ...].</w:t>
      </w:r>
    </w:p>
    <w:p>
      <w:pPr>
        <w:pStyle w:val="DSURGuidance"/>
        <w:spacing w:before="60"/>
      </w:pPr>
      <w:r>
        <w:rPr>
          <w:b/>
        </w:rPr>
        <w:t>Anatomy.</w:t>
      </w:r>
      <w:r>
        <w:rPr>
          <w:i w:val="0"/>
        </w:rPr>
      </w:r>
    </w:p>
    <w:p>
      <w:pPr>
        <w:pStyle w:val="DSURGuidanceList"/>
        <w:tabs>
          <w:tab w:pos="539" w:val="left"/>
        </w:tabs>
      </w:pPr>
      <w:r>
        <w:t>1.</w:t>
        <w:tab/>
        <w:t>Which report it is: the sponsor, the scope (indication, formulation or region), the reporting period and its data lock point (7.8).</w:t>
      </w:r>
    </w:p>
    <w:p>
      <w:pPr>
        <w:pStyle w:val="DSURGuidanceList"/>
        <w:tabs>
          <w:tab w:pos="539" w:val="left"/>
        </w:tabs>
      </w:pPr>
      <w:r>
        <w:t>2.</w:t>
        <w:tab/>
        <w:t>The significant findings, briefly, each with a pointer to where this DSUR evaluates them (E2F §3.14; 7.8).</w:t>
      </w:r>
    </w:p>
    <w:p>
      <w:pPr>
        <w:pStyle w:val="DSURGuidanceList"/>
        <w:tabs>
          <w:tab w:pos="539" w:val="left"/>
        </w:tabs>
      </w:pPr>
      <w:r>
        <w:t>3.</w:t>
        <w:tab/>
        <w:t>Any conclusion that differs from this report's, and why; or a statement that the conclusions do not contradict each other (7.8, 17.9).</w:t>
      </w:r>
    </w:p>
    <w:p>
      <w:pPr>
        <w:pStyle w:val="DSURGuidanceList"/>
        <w:tabs>
          <w:tab w:pos="539" w:val="left"/>
        </w:tabs>
      </w:pPr>
      <w:r>
        <w:t>4.</w:t>
        <w:tab/>
        <w:t>What could not be obtained: if the other report is late, the latest information received and its date, and a statement that the next DSUR will summarize the other report (7.8).</w:t>
      </w:r>
    </w:p>
    <w:p>
      <w:pPr>
        <w:pStyle w:val="DSURGuidance"/>
        <w:spacing w:before="60"/>
      </w:pPr>
      <w:r>
        <w:rPr>
          <w:b/>
        </w:rPr>
        <w:t>Level of detail.</w:t>
      </w:r>
      <w:r>
        <w:rPr>
          <w:i w:val="0"/>
        </w:rPr>
      </w:r>
    </w:p>
    <w:p>
      <w:pPr>
        <w:pStyle w:val="DSURGuidanceList"/>
        <w:tabs>
          <w:tab w:pos="539" w:val="left"/>
        </w:tabs>
      </w:pPr>
      <w:r>
        <w:t>•</w:t>
        <w:tab/>
      </w:r>
      <w:r>
        <w:rPr>
          <w:b/>
        </w:rPr>
        <w:t>Partnered development:</w:t>
      </w:r>
      <w:r>
        <w:t xml:space="preserve"> One short entry per other DSUR, short because the data sit in Section 10 and the evaluation in Section 18 (7.8). A section that only says another DSUR exists is the common failure (2.9).</w:t>
      </w:r>
    </w:p>
    <w:p>
      <w:pPr>
        <w:pStyle w:val="DSURGuidanceList"/>
        <w:tabs>
          <w:tab w:pos="539" w:val="left"/>
        </w:tabs>
      </w:pPr>
      <w:r>
        <w:t>•</w:t>
        <w:tab/>
      </w:r>
      <w:r>
        <w:rPr>
          <w:b/>
        </w:rPr>
        <w:t>Quiet year:</w:t>
      </w:r>
      <w:r>
        <w:t xml:space="preserve"> Where the sponsor prepares a single DSUR, the section is one sentence every year, as below.</w:t>
      </w:r>
    </w:p>
    <w:p>
      <w:pPr>
        <w:pStyle w:val="DSURGuidance"/>
        <w:spacing w:before="60"/>
      </w:pPr>
      <w:r>
        <w:rPr>
          <w:b/>
        </w:rPr>
        <w:t>Ask:</w:t>
      </w:r>
      <w:r>
        <w:rPr>
          <w:i w:val="0"/>
        </w:rPr>
        <w:t xml:space="preserve"> Are the conclusions of the other DSURs consistent with this one, and are differences explained? (Chapters 2 and 17)</w:t>
      </w:r>
    </w:p>
    <w:p>
      <w:pPr>
        <w:pStyle w:val="DSURGuidance"/>
        <w:spacing w:before="60" w:after="120"/>
      </w:pPr>
      <w:r>
        <w:rPr>
          <w:b/>
        </w:rPr>
        <w:t>If nothing to report:</w:t>
      </w:r>
      <w:r>
        <w:rPr>
          <w:i w:val="0"/>
        </w:rPr>
        <w:t xml:space="preserve"> The sponsor prepares a single DSUR for [drug]. No other DSURs are prepared for this substance.</w:t>
      </w:r>
    </w:p>
    <w:p>
      <w:pPr>
        <w:pStyle w:val="DSURPlaceholder"/>
      </w:pPr>
      <w:r>
        <w:t>[Section 14 text.]</w:t>
      </w:r>
    </w:p>
    <w:p>
      <w:pPr>
        <w:pStyle w:val="Heading1"/>
      </w:pPr>
      <w:r>
        <w:t>15. Lack of efficacy</w:t>
      </w:r>
    </w:p>
    <w:p>
      <w:pPr>
        <w:pStyle w:val="DSURGuidance"/>
        <w:spacing w:before="40"/>
      </w:pPr>
      <w:r>
        <w:rPr>
          <w:i/>
        </w:rPr>
        <w:t>Book: Chapter 7; E2F §3.15</w:t>
      </w:r>
    </w:p>
    <w:p>
      <w:pPr>
        <w:pStyle w:val="DSURGuidance"/>
        <w:spacing w:before="80"/>
      </w:pPr>
      <w:r>
        <w:rPr>
          <w:b/>
          <w:color w:val="5B7FA6"/>
          <w:sz w:val="16"/>
        </w:rPr>
        <w:t>GUIDANCE (DELETE BEFORE SUBMISSION)</w:t>
      </w:r>
    </w:p>
    <w:p>
      <w:pPr>
        <w:pStyle w:val="DSURGuidance"/>
        <w:spacing w:before="60"/>
      </w:pPr>
      <w:r>
        <w:rPr>
          <w:b/>
        </w:rPr>
        <w:t>Logic.</w:t>
      </w:r>
      <w:r>
        <w:rPr>
          <w:i w:val="0"/>
        </w:rPr>
        <w:t xml:space="preserve"> Section 15 answers whether, for a drug intended to treat a serious or life-threatening condition, data in the period indicate lack of efficacy, or lack of efficacy relative to established therapy, that could put subjects at risk. It is a safety section, not a home for efficacy results: E2F's example is excess cardiovascular events in a trial of a new antiplatelet drug for acute coronary syndromes, while a missed endpoint in a non-serious condition stays in Section 8 (7.3). Clinical development owns it; a qualifying finding also appears in Section 8.1 or 8.2 and is evaluated in Section 18, where lack of efficacy that would put participants at risk is one of the points to consider (Chapter 7 role notes; 9.10, 10.1).</w:t>
      </w:r>
    </w:p>
    <w:p>
      <w:pPr>
        <w:pStyle w:val="DSURGuidance"/>
        <w:spacing w:before="60"/>
      </w:pPr>
      <w:r>
        <w:rPr>
          <w:b/>
        </w:rPr>
        <w:t>Message.</w:t>
      </w:r>
      <w:r>
        <w:rPr>
          <w:i w:val="0"/>
        </w:rPr>
        <w:t xml:space="preserve"> The reader learns whether any efficacy result in a serious indication puts subjects at risk, or that the section does not apply and why.</w:t>
      </w:r>
    </w:p>
    <w:p>
      <w:pPr>
        <w:pStyle w:val="DSURGuidance"/>
        <w:spacing w:before="60"/>
      </w:pPr>
      <w:r>
        <w:rPr>
          <w:b/>
        </w:rPr>
        <w:t>Model:</w:t>
      </w:r>
      <w:r>
        <w:rPr>
          <w:i/>
        </w:rPr>
        <w:t xml:space="preserve"> An interim analysis of [trial] in [serious or life-threatening condition] showed more [events] with [drug] ([n]) than with [comparator] ([n]). Because this could represent a risk to subjects, it is evaluated in Section 18.1.</w:t>
      </w:r>
    </w:p>
    <w:p>
      <w:pPr>
        <w:pStyle w:val="DSURGuidance"/>
        <w:spacing w:before="60"/>
      </w:pPr>
      <w:r>
        <w:rPr>
          <w:b/>
        </w:rPr>
        <w:t>Anatomy.</w:t>
      </w:r>
      <w:r>
        <w:rPr>
          <w:i w:val="0"/>
        </w:rPr>
      </w:r>
    </w:p>
    <w:p>
      <w:pPr>
        <w:pStyle w:val="DSURGuidanceList"/>
        <w:tabs>
          <w:tab w:pos="539" w:val="left"/>
        </w:tabs>
      </w:pPr>
      <w:r>
        <w:t>1.</w:t>
        <w:tab/>
        <w:t>Whether the indication is serious or life-threatening; if not, the not-applicable statement and nothing more (E2F §3.15).</w:t>
      </w:r>
    </w:p>
    <w:p>
      <w:pPr>
        <w:pStyle w:val="DSURGuidanceList"/>
        <w:tabs>
          <w:tab w:pos="539" w:val="left"/>
        </w:tabs>
      </w:pPr>
      <w:r>
        <w:t>2.</w:t>
        <w:tab/>
        <w:t>For each qualifying finding: the trial and analysis (completed or interim), the result by arm against the comparator or established therapy, and why it could put subjects at risk (7.3).</w:t>
      </w:r>
    </w:p>
    <w:p>
      <w:pPr>
        <w:pStyle w:val="DSURGuidanceList"/>
        <w:tabs>
          <w:tab w:pos="539" w:val="left"/>
        </w:tabs>
      </w:pPr>
      <w:r>
        <w:t>3.</w:t>
        <w:tab/>
        <w:t>Cross-references: Section 8.1 or 8.2 for the trial result, Section 18.1 for the evaluation, and Section 3 for any suspension or early termination for lack of efficacy (8.1, 9.10).</w:t>
      </w:r>
    </w:p>
    <w:p>
      <w:pPr>
        <w:pStyle w:val="DSURGuidance"/>
        <w:spacing w:before="60"/>
      </w:pPr>
      <w:r>
        <w:rPr>
          <w:b/>
        </w:rPr>
        <w:t>Level of detail.</w:t>
      </w:r>
      <w:r>
        <w:rPr>
          <w:i w:val="0"/>
        </w:rPr>
      </w:r>
    </w:p>
    <w:p>
      <w:pPr>
        <w:pStyle w:val="DSURGuidanceList"/>
        <w:tabs>
          <w:tab w:pos="539" w:val="left"/>
        </w:tabs>
      </w:pPr>
      <w:r>
        <w:t>•</w:t>
        <w:tab/>
      </w:r>
      <w:r>
        <w:rPr>
          <w:b/>
        </w:rPr>
        <w:t>Late development (large, often blinded trials):</w:t>
      </w:r>
      <w:r>
        <w:t xml:space="preserve"> A result in serious disease that is worse than the comparator goes here as well as in Section 8; futility with no difference in survival stays in Section 8 unless subjects gave up effective therapy to take part (9.10; Appendix E, Chapter 7).</w:t>
      </w:r>
    </w:p>
    <w:p>
      <w:pPr>
        <w:pStyle w:val="DSURGuidanceList"/>
        <w:tabs>
          <w:tab w:pos="539" w:val="left"/>
        </w:tabs>
      </w:pPr>
      <w:r>
        <w:t>•</w:t>
        <w:tab/>
      </w:r>
      <w:r>
        <w:rPr>
          <w:b/>
        </w:rPr>
        <w:t>Quiet year:</w:t>
      </w:r>
      <w:r>
        <w:t xml:space="preserve"> One of the two sentences below; for a non-serious indication, the not-applicable sentence. Listing every missed endpoint, or none regardless of the seriousness of the disease, is the misuse to avoid (7.9).</w:t>
      </w:r>
    </w:p>
    <w:p>
      <w:pPr>
        <w:pStyle w:val="DSURGuidance"/>
        <w:spacing w:before="60"/>
      </w:pPr>
      <w:r>
        <w:rPr>
          <w:b/>
        </w:rPr>
        <w:t>Ask:</w:t>
      </w:r>
      <w:r>
        <w:rPr>
          <w:i w:val="0"/>
        </w:rPr>
        <w:t xml:space="preserve"> Does lack of efficacy here put subjects at risk? If not, does it belong in this section at all? (Chapter 7)</w:t>
      </w:r>
    </w:p>
    <w:p>
      <w:pPr>
        <w:pStyle w:val="DSURGuidance"/>
        <w:spacing w:before="60" w:after="120"/>
      </w:pPr>
      <w:r>
        <w:rPr>
          <w:b/>
        </w:rPr>
        <w:t>If nothing to report:</w:t>
      </w:r>
      <w:r>
        <w:rPr>
          <w:i w:val="0"/>
        </w:rPr>
        <w:t xml:space="preserve"> No data indicating lack of efficacy that could represent a risk to trial subjects became available during the reporting period. Or, for a non-serious indication: [Drug] is being developed for [indication], which is not a serious or life-threatening condition; this section is not applicable.</w:t>
      </w:r>
    </w:p>
    <w:p>
      <w:pPr>
        <w:pStyle w:val="DSURPlaceholder"/>
      </w:pPr>
      <w:r>
        <w:t>[Section 15 text.]</w:t>
      </w:r>
    </w:p>
    <w:p>
      <w:pPr>
        <w:pStyle w:val="Heading1"/>
      </w:pPr>
      <w:r>
        <w:t>16. Region-specific information</w:t>
      </w:r>
    </w:p>
    <w:p>
      <w:pPr>
        <w:pStyle w:val="DSURGuidance"/>
        <w:spacing w:before="40"/>
      </w:pPr>
      <w:r>
        <w:rPr>
          <w:i/>
        </w:rPr>
        <w:t>Book: Chapter 14; E2F §3.16</w:t>
      </w:r>
    </w:p>
    <w:p>
      <w:pPr>
        <w:pStyle w:val="DSURGuidance"/>
        <w:spacing w:before="80"/>
      </w:pPr>
      <w:r>
        <w:rPr>
          <w:b/>
          <w:color w:val="5B7FA6"/>
          <w:sz w:val="16"/>
        </w:rPr>
        <w:t>GUIDANCE (DELETE BEFORE SUBMISSION)</w:t>
      </w:r>
    </w:p>
    <w:p>
      <w:pPr>
        <w:pStyle w:val="DSURGuidance"/>
        <w:spacing w:before="60"/>
      </w:pPr>
      <w:r>
        <w:rPr>
          <w:b/>
        </w:rPr>
        <w:t>Logic.</w:t>
      </w:r>
      <w:r>
        <w:rPr>
          <w:i w:val="0"/>
        </w:rPr>
        <w:t xml:space="preserve"> Section 16 answers what each region requires beyond the common report, and keeps that material outside the global core. It sits ahead of the assessment and feeds it: safety issues found in the regional lists of deaths and of withdrawals for adverse events are addressed in Section 18 (14.1). It is built from the regional appendices matrix and the scope record, and it may add data but never changes the assessment in Section 18 or the list in Section 19 (14.2).</w:t>
      </w:r>
    </w:p>
    <w:p>
      <w:pPr>
        <w:pStyle w:val="DSURGuidance"/>
        <w:spacing w:before="60"/>
      </w:pPr>
      <w:r>
        <w:rPr>
          <w:b/>
        </w:rPr>
        <w:t>Message.</w:t>
      </w:r>
      <w:r>
        <w:rPr>
          <w:i w:val="0"/>
        </w:rPr>
        <w:t xml:space="preserve"> Each region's required content is here or in its appendix, and none of it changes the global assessment.</w:t>
      </w:r>
    </w:p>
    <w:p>
      <w:pPr>
        <w:pStyle w:val="DSURGuidance"/>
        <w:spacing w:before="60"/>
      </w:pPr>
      <w:r>
        <w:rPr>
          <w:b/>
        </w:rPr>
        <w:t>Model:</w:t>
      </w:r>
      <w:r>
        <w:rPr>
          <w:i/>
        </w:rPr>
        <w:t xml:space="preserve"> Region-specific information is provided in the regional appendices listed below. It does not change the assessment in Section 18.</w:t>
      </w:r>
    </w:p>
    <w:p>
      <w:pPr>
        <w:pStyle w:val="DSURGuidance"/>
        <w:spacing w:before="60"/>
      </w:pPr>
      <w:r>
        <w:rPr>
          <w:b/>
        </w:rPr>
        <w:t>Anatomy.</w:t>
      </w:r>
      <w:r>
        <w:rPr>
          <w:i w:val="0"/>
        </w:rPr>
      </w:r>
    </w:p>
    <w:p>
      <w:pPr>
        <w:pStyle w:val="DSURGuidanceList"/>
        <w:tabs>
          <w:tab w:pos="539" w:val="left"/>
        </w:tabs>
      </w:pPr>
      <w:r>
        <w:t>1.</w:t>
        <w:tab/>
        <w:t>Opening statement (body): the model sentence, followed by the regional appendices, forms and annexes, listed by region.</w:t>
      </w:r>
    </w:p>
    <w:p>
      <w:pPr>
        <w:pStyle w:val="DSURGuidanceList"/>
        <w:tabs>
          <w:tab w:pos="539" w:val="left"/>
        </w:tabs>
      </w:pPr>
      <w:r>
        <w:t>2.</w:t>
        <w:tab/>
        <w:t>The E2F example items, as each region's rules require (appendix): a cumulative summary tabulation of serious adverse reactions by System Organ Class, reaction term and treatment arm, with unexpected terms identified; a list of subjects who died in the period, with at least case number, assigned treatment (which may be blinded) and cause of death; a list of subjects who withdrew in association with an adverse event, whether or not thought related; significant Phase 1 protocol modifications not previously submitted (US); significant manufacturing changes; the general investigational plan for the coming year (US IND); and, if the sponsor wishes, a log of outstanding business for a US IND (14.1).</w:t>
      </w:r>
    </w:p>
    <w:p>
      <w:pPr>
        <w:pStyle w:val="DSURGuidanceList"/>
        <w:tabs>
          <w:tab w:pos="539" w:val="left"/>
        </w:tabs>
      </w:pPr>
      <w:r>
        <w:t>3.</w:t>
        <w:tab/>
        <w:t>Forms and annexes that a region defines itself (appendix), such as Japan's Forms 1 and 2, China's five annexes and full Chinese version, and the appendix MHRA recommends for the United Kingdom, each checked against the region's current rules and dated (14.3, 14.6).</w:t>
      </w:r>
    </w:p>
    <w:p>
      <w:pPr>
        <w:pStyle w:val="DSURGuidanceList"/>
        <w:tabs>
          <w:tab w:pos="539" w:val="left"/>
        </w:tabs>
      </w:pPr>
      <w:r>
        <w:t>4.</w:t>
        <w:tab/>
        <w:t>Cross-references to Section 18 for any safety issue found in the death and withdrawal lists, and for the safety implications of manufacturing changes (14.1).</w:t>
      </w:r>
    </w:p>
    <w:p>
      <w:pPr>
        <w:pStyle w:val="DSURGuidance"/>
        <w:spacing w:before="60"/>
      </w:pPr>
      <w:r>
        <w:rPr>
          <w:b/>
        </w:rPr>
        <w:t>Level of detail.</w:t>
      </w:r>
      <w:r>
        <w:rPr>
          <w:i w:val="0"/>
        </w:rPr>
      </w:r>
    </w:p>
    <w:p>
      <w:pPr>
        <w:pStyle w:val="DSURGuidanceList"/>
        <w:tabs>
          <w:tab w:pos="539" w:val="left"/>
        </w:tabs>
      </w:pPr>
      <w:r>
        <w:t>•</w:t>
        <w:tab/>
      </w:r>
      <w:r>
        <w:rPr>
          <w:b/>
        </w:rPr>
        <w:t>Marketed drug:</w:t>
      </w:r>
      <w:r>
        <w:t xml:space="preserve"> For an authorized product the UK reporting year starts on the international birth date (14.3). If the DSUR is synchronized with the PBRER, every regional deadline moves and is recalculated from the basis recorded in the matrix (14.7).</w:t>
      </w:r>
    </w:p>
    <w:p>
      <w:pPr>
        <w:pStyle w:val="DSURGuidanceList"/>
        <w:tabs>
          <w:tab w:pos="539" w:val="left"/>
        </w:tabs>
      </w:pPr>
      <w:r>
        <w:t>•</w:t>
        <w:tab/>
      </w:r>
      <w:r>
        <w:rPr>
          <w:b/>
        </w:rPr>
        <w:t>First DSUR / final DSUR:</w:t>
      </w:r>
      <w:r>
        <w:t xml:space="preserve"> The region-specific commitments set in the first DSUR's scope are inherited by every later report, so record them, with an owner for each, before drafting starts (14.2, 16.2). A final DSUR says it is final only in the version for the region where the obligation ends, and that region's forms are still included (16.3).</w:t>
      </w:r>
    </w:p>
    <w:p>
      <w:pPr>
        <w:pStyle w:val="DSURGuidanceList"/>
        <w:tabs>
          <w:tab w:pos="539" w:val="left"/>
        </w:tabs>
      </w:pPr>
      <w:r>
        <w:t>•</w:t>
        <w:tab/>
      </w:r>
      <w:r>
        <w:rPr>
          <w:b/>
        </w:rPr>
        <w:t>Quiet year:</w:t>
      </w:r>
      <w:r>
        <w:t xml:space="preserve"> Supply each required item even when it has nothing in it, and say so, as CX-3's US appendix listed Phase 1 modifications as "none" (14.7). Check regional content against current requirements rather than copying last year's appendices (14.8).</w:t>
      </w:r>
    </w:p>
    <w:p>
      <w:pPr>
        <w:pStyle w:val="DSURGuidance"/>
        <w:spacing w:before="60" w:after="120"/>
      </w:pPr>
      <w:r>
        <w:rPr>
          <w:b/>
        </w:rPr>
        <w:t>Ask:</w:t>
      </w:r>
      <w:r>
        <w:rPr>
          <w:i w:val="0"/>
        </w:rPr>
        <w:t xml:space="preserve"> Do the regional appendices add data without changing the global assessment? (Chapter 14)</w:t>
      </w:r>
    </w:p>
    <w:p>
      <w:pPr>
        <w:pStyle w:val="DSURPlaceholder"/>
      </w:pPr>
      <w:r>
        <w:t>[Section 16 text.]</w:t>
      </w:r>
    </w:p>
    <w:p>
      <w:pPr>
        <w:pStyle w:val="Heading1"/>
      </w:pPr>
      <w:r>
        <w:t>17. Late-breaking information</w:t>
      </w:r>
    </w:p>
    <w:p>
      <w:pPr>
        <w:pStyle w:val="DSURGuidance"/>
        <w:spacing w:before="40"/>
      </w:pPr>
      <w:r>
        <w:rPr>
          <w:i/>
        </w:rPr>
        <w:t>Book: Chapter 8; E2F §3.17</w:t>
      </w:r>
    </w:p>
    <w:p>
      <w:pPr>
        <w:pStyle w:val="DSURGuidance"/>
        <w:spacing w:before="80"/>
      </w:pPr>
      <w:r>
        <w:rPr>
          <w:b/>
          <w:color w:val="5B7FA6"/>
          <w:sz w:val="16"/>
        </w:rPr>
        <w:t>GUIDANCE (DELETE BEFORE SUBMISSION)</w:t>
      </w:r>
    </w:p>
    <w:p>
      <w:pPr>
        <w:pStyle w:val="DSURGuidance"/>
        <w:spacing w:before="60"/>
      </w:pPr>
      <w:r>
        <w:rPr>
          <w:b/>
        </w:rPr>
        <w:t>Logic.</w:t>
      </w:r>
      <w:r>
        <w:rPr>
          <w:i w:val="0"/>
        </w:rPr>
        <w:t xml:space="preserve"> This section answers whether anything important happened between the data lock point and the agreed cut-off. It is a safety valve that lets the report reflect a post-lock finding instead of leaving the regulator to learn of it next year, but it needs a bar and a cut-off, or Section 18 is rewritten until the day before submission (8.5). Its items come from the safety actions log and incoming information monitored by a named owner (3.6; Chapter 8), and each one must be taken into account in Section 18, with Sections 19 and 20 updated where it changes a risk or leads to action (E2F §3.17; 8.5).</w:t>
      </w:r>
    </w:p>
    <w:p>
      <w:pPr>
        <w:pStyle w:val="DSURGuidance"/>
        <w:spacing w:before="60"/>
      </w:pPr>
      <w:r>
        <w:rPr>
          <w:b/>
        </w:rPr>
        <w:t>Message.</w:t>
      </w:r>
      <w:r>
        <w:rPr>
          <w:i w:val="0"/>
        </w:rPr>
        <w:t xml:space="preserve"> Every post-lock finding important enough to change a conclusion, or that is a new safety action, is reported here and assessed in Section 18.</w:t>
      </w:r>
    </w:p>
    <w:p>
      <w:pPr>
        <w:pStyle w:val="DSURGuidance"/>
        <w:spacing w:before="60"/>
      </w:pPr>
      <w:r>
        <w:rPr>
          <w:b/>
        </w:rPr>
        <w:t>Model:</w:t>
      </w:r>
      <w:r>
        <w:rPr>
          <w:i/>
        </w:rPr>
        <w:t xml:space="preserve"> On [date], after the data lock point, [the Data Monitoring Committee / authority / sponsor] [finding or action]. The sponsor [accepted the recommendation / paused enrollment / other response], and [implementation status]. The implications are discussed in Section 18.1 ([issue]), and the action is listed in Section 20.</w:t>
      </w:r>
    </w:p>
    <w:p>
      <w:pPr>
        <w:pStyle w:val="DSURGuidance"/>
        <w:spacing w:before="60"/>
      </w:pPr>
      <w:r>
        <w:rPr>
          <w:b/>
        </w:rPr>
        <w:t>Anatomy.</w:t>
      </w:r>
      <w:r>
        <w:rPr>
          <w:i w:val="0"/>
        </w:rPr>
      </w:r>
    </w:p>
    <w:p>
      <w:pPr>
        <w:pStyle w:val="DSURGuidanceList"/>
        <w:tabs>
          <w:tab w:pos="539" w:val="left"/>
        </w:tabs>
      </w:pPr>
      <w:r>
        <w:t>1.</w:t>
        <w:tab/>
        <w:t>One entry per item, in the form of the model: the date and that it falls after the data lock point, what was found or decided and by whom, the sponsor's response and its status, and the sections where it is assessed and acted on (8.5).</w:t>
      </w:r>
    </w:p>
    <w:p>
      <w:pPr>
        <w:pStyle w:val="DSURGuidanceList"/>
        <w:tabs>
          <w:tab w:pos="539" w:val="left"/>
        </w:tabs>
      </w:pPr>
      <w:r>
        <w:t>2.</w:t>
        <w:tab/>
        <w:t>Only items that clear the bar: a finding that would change a conclusion in Section 18 or the status of an important risk; a new action by the sponsor, a DMC or a regulator for safety reasons; a fatal or life-threatening case showing a new pattern; or a toxicology finding with clinical implications. Routine new cases of known reactions do not qualify and go in next year's DSUR (8.5; Appendix E, Chapter 8).</w:t>
      </w:r>
    </w:p>
    <w:p>
      <w:pPr>
        <w:pStyle w:val="DSURGuidance"/>
      </w:pPr>
      <w:r>
        <w:rPr>
          <w:i w:val="0"/>
        </w:rPr>
        <w:t>Apply the agreed cut-off, typically the start of the consolidated review: after it, only findings that would change a conclusion are added (3.6, 8.5).</w:t>
      </w:r>
    </w:p>
    <w:p>
      <w:pPr>
        <w:pStyle w:val="DSURGuidance"/>
        <w:spacing w:before="60"/>
      </w:pPr>
      <w:r>
        <w:rPr>
          <w:b/>
        </w:rPr>
        <w:t>Level of detail.</w:t>
      </w:r>
      <w:r>
        <w:rPr>
          <w:i w:val="0"/>
        </w:rPr>
      </w:r>
    </w:p>
    <w:p>
      <w:pPr>
        <w:pStyle w:val="DSURGuidanceList"/>
        <w:tabs>
          <w:tab w:pos="539" w:val="left"/>
        </w:tabs>
      </w:pPr>
      <w:r>
        <w:t>•</w:t>
        <w:tab/>
      </w:r>
      <w:r>
        <w:rPr>
          <w:b/>
        </w:rPr>
        <w:t>Late development (large, often blinded trials):</w:t>
      </w:r>
      <w:r>
        <w:t xml:space="preserve"> A scheduled DMC review that falls after the data lock point can be assigned to Section 17 at kickoff, with an owner (3.8). Report the recommendation in full, including any added monitoring and the subgroups it covers, in a short paragraph (8.5).</w:t>
      </w:r>
    </w:p>
    <w:p>
      <w:pPr>
        <w:pStyle w:val="DSURGuidanceList"/>
        <w:tabs>
          <w:tab w:pos="539" w:val="left"/>
        </w:tabs>
      </w:pPr>
      <w:r>
        <w:t>•</w:t>
        <w:tab/>
      </w:r>
      <w:r>
        <w:rPr>
          <w:b/>
        </w:rPr>
        <w:t>Quiet year:</w:t>
      </w:r>
      <w:r>
        <w:t xml:space="preserve"> One sentence stating that nothing was received between the data lock point and the cut-off.</w:t>
      </w:r>
    </w:p>
    <w:p>
      <w:pPr>
        <w:pStyle w:val="DSURGuidance"/>
        <w:spacing w:before="60"/>
      </w:pPr>
      <w:r>
        <w:rPr>
          <w:b/>
        </w:rPr>
        <w:t>Ask:</w:t>
      </w:r>
      <w:r>
        <w:rPr>
          <w:i w:val="0"/>
        </w:rPr>
        <w:t xml:space="preserve"> Is each item assessed in Section 18, and reflected in Section 20 if it needs action? (Chapter 8)</w:t>
      </w:r>
    </w:p>
    <w:p>
      <w:pPr>
        <w:pStyle w:val="DSURGuidance"/>
        <w:spacing w:before="60" w:after="120"/>
      </w:pPr>
      <w:r>
        <w:rPr>
          <w:b/>
        </w:rPr>
        <w:t>If nothing to report:</w:t>
      </w:r>
      <w:r>
        <w:rPr>
          <w:i w:val="0"/>
        </w:rPr>
        <w:t xml:space="preserve"> No significant safety information was received between the data lock point and [the agreed cut-off date].</w:t>
      </w:r>
    </w:p>
    <w:p>
      <w:pPr>
        <w:pStyle w:val="DSURPlaceholder"/>
      </w:pPr>
      <w:r>
        <w:t>[Section 17 text.]</w:t>
      </w:r>
    </w:p>
    <w:p>
      <w:pPr>
        <w:pStyle w:val="Heading1"/>
      </w:pPr>
      <w:r>
        <w:t>18. Overall safety assessment</w:t>
      </w:r>
    </w:p>
    <w:p>
      <w:pPr>
        <w:pStyle w:val="DSURGuidance"/>
        <w:spacing w:before="40"/>
      </w:pPr>
      <w:r>
        <w:rPr>
          <w:i/>
        </w:rPr>
        <w:t>Book: Chapters 10 and 12; E2F §3.18</w:t>
      </w:r>
    </w:p>
    <w:p>
      <w:pPr>
        <w:pStyle w:val="DSURGuidance"/>
        <w:spacing w:before="80"/>
      </w:pPr>
      <w:r>
        <w:rPr>
          <w:b/>
          <w:color w:val="5B7FA6"/>
          <w:sz w:val="16"/>
        </w:rPr>
        <w:t>GUIDANCE (DELETE BEFORE SUBMISSION)</w:t>
      </w:r>
    </w:p>
    <w:p>
      <w:pPr>
        <w:pStyle w:val="DSURGuidance"/>
        <w:spacing w:before="60"/>
      </w:pPr>
      <w:r>
        <w:rPr>
          <w:b/>
        </w:rPr>
        <w:t>Logic.</w:t>
      </w:r>
      <w:r>
        <w:rPr>
          <w:i w:val="0"/>
        </w:rPr>
        <w:t xml:space="preserve"> Section 18 answers the DSUR's central question: what the period's information, taken with cumulative experience, means for subjects in the trials now, for subjects who will enroll, and for the program. It follows Sections 2 to 17 because it interprets what they report without repeating them, and it must explain every item in Sections 3, 4, 12, 13, 15 and 17 (10.10; Chapter 10 checklist). Section 18.1 feeds Section 18.2, and both feed Sections 19 and 20 and the Executive Summary; when these disagree, Section 18 is usually the arbiter (12.5).</w:t>
      </w:r>
    </w:p>
    <w:p>
      <w:pPr>
        <w:pStyle w:val="DSURGuidance"/>
        <w:spacing w:before="60"/>
      </w:pPr>
      <w:r>
        <w:rPr>
          <w:b/>
        </w:rPr>
        <w:t>Message.</w:t>
      </w:r>
      <w:r>
        <w:rPr>
          <w:i w:val="0"/>
        </w:rPr>
        <w:t xml:space="preserve"> What changed this year, what it means for trial subjects, and whether the benefit–risk balance for them has changed, with the evidence for each conclusion on the page.</w:t>
      </w:r>
    </w:p>
    <w:p>
      <w:pPr>
        <w:pStyle w:val="DSURGuidance"/>
        <w:spacing w:before="60"/>
      </w:pPr>
      <w:r>
        <w:rPr>
          <w:b/>
        </w:rPr>
        <w:t>Model (18.2):</w:t>
      </w:r>
      <w:r>
        <w:rPr>
          <w:i/>
        </w:rPr>
        <w:t xml:space="preserve"> The anticipated benefit of [drug] in [indication] rests on [evidence]. The risks evaluated in Section 18.1 have not changed in nature or frequency in a way that alters the balance, and the benefit–risk balance for subjects in the ongoing trials is considered unchanged since the previous DSUR.</w:t>
      </w:r>
    </w:p>
    <w:p>
      <w:pPr>
        <w:pStyle w:val="DSURGuidance"/>
        <w:spacing w:before="60"/>
      </w:pPr>
      <w:r>
        <w:rPr>
          <w:b/>
        </w:rPr>
        <w:t>Anatomy.</w:t>
      </w:r>
      <w:r>
        <w:rPr>
          <w:i w:val="0"/>
        </w:rPr>
      </w:r>
    </w:p>
    <w:p>
      <w:pPr>
        <w:pStyle w:val="DSURGuidanceList"/>
        <w:tabs>
          <w:tab w:pos="539" w:val="left"/>
        </w:tabs>
      </w:pPr>
      <w:r>
        <w:t>1.</w:t>
        <w:tab/>
        <w:t>18.1, opening sentence (body): the overall conclusion, so the reader knows where the section is going (10.7).</w:t>
      </w:r>
    </w:p>
    <w:p>
      <w:pPr>
        <w:pStyle w:val="DSURGuidanceList"/>
        <w:tabs>
          <w:tab w:pos="539" w:val="left"/>
        </w:tabs>
      </w:pPr>
      <w:r>
        <w:t>2.</w:t>
        <w:tab/>
        <w:t>18.1, newly identified concerns first, each under its own subheading and taken through five steps: observed, for the interval and cumulatively, with denominators; compared with a named reference (previous DSURs and the IB, the comparator arm, the background rate or the class); explained, weighing alternative causes against what supports a drug effect; the implication for current subjects, future subjects and the program; and the action taken, or a statement of consistency with its evidence (10.2). A table that argues belongs in Section 18, and a figure that argues sits next to the paragraph it supports (13.4, 13.10).</w:t>
      </w:r>
    </w:p>
    <w:p>
      <w:pPr>
        <w:pStyle w:val="DSURGuidanceList"/>
        <w:tabs>
          <w:tab w:pos="539" w:val="left"/>
        </w:tabs>
      </w:pPr>
      <w:r>
        <w:t>3.</w:t>
        <w:tab/>
        <w:t>18.1, important risks with new information, including meaningful changes in previously identified reactions, in the same order as Section 19 and with the same five steps (10.3, 10.7).</w:t>
      </w:r>
    </w:p>
    <w:p>
      <w:pPr>
        <w:pStyle w:val="DSURGuidanceList"/>
        <w:tabs>
          <w:tab w:pos="539" w:val="left"/>
        </w:tabs>
      </w:pPr>
      <w:r>
        <w:t>4.</w:t>
        <w:tab/>
        <w:t>18.1, other points considered: the remaining E2F points, such as deaths, discontinuations, special populations and pregnancy, medication errors, overdose, misuse and abuse, interactions, class effects and nonclinical findings, in a short passage or a table of point, what the data show and conclusion. Each "no new safety concern" statement belongs here, attached to its evidence (10.6, 10.9).</w:t>
      </w:r>
    </w:p>
    <w:p>
      <w:pPr>
        <w:pStyle w:val="DSURGuidanceList"/>
        <w:tabs>
          <w:tab w:pos="539" w:val="left"/>
        </w:tabs>
      </w:pPr>
      <w:r>
        <w:t>5.</w:t>
        <w:tab/>
        <w:t>18.1, separate assessments by indication, route or formulation, only where the risks genuinely differ (10.7).</w:t>
      </w:r>
    </w:p>
    <w:p>
      <w:pPr>
        <w:pStyle w:val="DSURGuidanceList"/>
        <w:tabs>
          <w:tab w:pos="539" w:val="left"/>
        </w:tabs>
      </w:pPr>
      <w:r>
        <w:t>6.</w:t>
        <w:tab/>
        <w:t>18.2, one paragraph in four elements: the anticipated benefit and the evidence it rests on; the cumulative risks, named rather than described again; how they are controlled in the trials; and whether the balance for trial subjects has changed since the previous DSUR (12.2).</w:t>
      </w:r>
    </w:p>
    <w:p>
      <w:pPr>
        <w:pStyle w:val="DSURGuidance"/>
        <w:spacing w:before="60"/>
      </w:pPr>
      <w:r>
        <w:rPr>
          <w:b/>
        </w:rPr>
        <w:t>Level of detail.</w:t>
      </w:r>
      <w:r>
        <w:rPr>
          <w:i w:val="0"/>
        </w:rPr>
      </w:r>
    </w:p>
    <w:p>
      <w:pPr>
        <w:pStyle w:val="DSURGuidanceList"/>
        <w:tabs>
          <w:tab w:pos="539" w:val="left"/>
        </w:tabs>
      </w:pPr>
      <w:r>
        <w:t>•</w:t>
        <w:tab/>
      </w:r>
      <w:r>
        <w:rPr>
          <w:b/>
        </w:rPr>
        <w:t>Early development (few subjects):</w:t>
      </w:r>
      <w:r>
        <w:t xml:space="preserve"> About two pages (10.7), with dose-limiting toxicities, deaths and serious adverse reactions described individually by cohort, dose, timing and outcome rather than compared as rates (16.2, 16.9). In 18.2 the benefit is anticipated from class knowledge, earlier trials or nonclinical data, and the statement says so (12.1).</w:t>
      </w:r>
    </w:p>
    <w:p>
      <w:pPr>
        <w:pStyle w:val="DSURGuidanceList"/>
        <w:tabs>
          <w:tab w:pos="539" w:val="left"/>
        </w:tabs>
      </w:pPr>
      <w:r>
        <w:t>•</w:t>
        <w:tab/>
      </w:r>
      <w:r>
        <w:rPr>
          <w:b/>
        </w:rPr>
        <w:t>Late development (large, often blinded trials):</w:t>
      </w:r>
      <w:r>
        <w:t xml:space="preserve"> Rates with denominators, compared with a named reference such as the rate expected from completed trials or background incidence, with the uncertainty stated; blinded data limit conclusions in both directions (10.4, 10.5; Chapter 10 take-home messages). For a mature program with several important risks, eight to ten pages is common, provided every paragraph interprets (10.7).</w:t>
      </w:r>
    </w:p>
    <w:p>
      <w:pPr>
        <w:pStyle w:val="DSURGuidanceList"/>
        <w:tabs>
          <w:tab w:pos="539" w:val="left"/>
        </w:tabs>
      </w:pPr>
      <w:r>
        <w:t>•</w:t>
        <w:tab/>
      </w:r>
      <w:r>
        <w:rPr>
          <w:b/>
        </w:rPr>
        <w:t>Marketed drug:</w:t>
      </w:r>
      <w:r>
        <w:t xml:space="preserve"> Take clinically significant post-marketing data into account (10.1), and assess an issue the PBRER has assessed the same way unless the populations differ enough to justify a different conclusion, saying why (16.7). Missing information in the risk management plan is addressed here as a limitation of the data where it is relevant to trial subjects (11.9).</w:t>
      </w:r>
    </w:p>
    <w:p>
      <w:pPr>
        <w:pStyle w:val="DSURGuidanceList"/>
        <w:tabs>
          <w:tab w:pos="539" w:val="left"/>
        </w:tabs>
      </w:pPr>
      <w:r>
        <w:t>•</w:t>
        <w:tab/>
      </w:r>
      <w:r>
        <w:rPr>
          <w:b/>
        </w:rPr>
        <w:t>First DSUR / final DSUR:</w:t>
      </w:r>
      <w:r>
        <w:t xml:space="preserve"> In a final DSUR, Section 18 reads as a closing assessment of the program's safety for that region, not another annual increment (16.3).</w:t>
      </w:r>
    </w:p>
    <w:p>
      <w:pPr>
        <w:pStyle w:val="DSURGuidanceList"/>
        <w:tabs>
          <w:tab w:pos="539" w:val="left"/>
        </w:tabs>
      </w:pPr>
      <w:r>
        <w:t>•</w:t>
        <w:tab/>
      </w:r>
      <w:r>
        <w:rPr>
          <w:b/>
        </w:rPr>
        <w:t>Quiet year:</w:t>
      </w:r>
      <w:r>
        <w:t xml:space="preserve"> "No change" is a legitimate conclusion when it is earned: keep the other-points passage, one line per point with its evidence, and write "no new safety concerns" only at the end of that argument (10.8, 10.9). Where long follow-up produced nothing new, give the follow-up time and what the program is still watching for (16.6); during a hold, assess the finding that led to it and whether the risk to subjects still being followed has changed (16.4).</w:t>
      </w:r>
    </w:p>
    <w:p>
      <w:pPr>
        <w:pStyle w:val="DSURGuidance"/>
        <w:spacing w:before="60" w:after="120"/>
      </w:pPr>
      <w:r>
        <w:rPr>
          <w:b/>
        </w:rPr>
        <w:t>Ask:</w:t>
      </w:r>
      <w:r>
        <w:rPr>
          <w:i w:val="0"/>
        </w:rPr>
        <w:t xml:space="preserve"> Does every issue end in an implication for subjects? Where is the evidence behind any statement that there are no new concerns? Is benefit described as anticipated? (Chapters 10 and 12)</w:t>
      </w:r>
    </w:p>
    <w:p>
      <w:pPr>
        <w:pStyle w:val="Heading2"/>
      </w:pPr>
      <w:r>
        <w:t>18.1 Evaluation of the risks</w:t>
      </w:r>
    </w:p>
    <w:p>
      <w:pPr>
        <w:pStyle w:val="DSURPlaceholder"/>
      </w:pPr>
      <w:r>
        <w:t>[Section 18.1 text.]</w:t>
      </w:r>
    </w:p>
    <w:p>
      <w:pPr>
        <w:pStyle w:val="Heading2"/>
      </w:pPr>
      <w:r>
        <w:t>18.2 Benefit–risk considerations</w:t>
      </w:r>
    </w:p>
    <w:p>
      <w:pPr>
        <w:pStyle w:val="DSURPlaceholder"/>
      </w:pPr>
      <w:r>
        <w:t>[Section 18.2 text.]</w:t>
      </w:r>
    </w:p>
    <w:p>
      <w:pPr>
        <w:pStyle w:val="Heading1"/>
      </w:pPr>
      <w:r>
        <w:t>19. Summary of important risks</w:t>
      </w:r>
    </w:p>
    <w:p>
      <w:pPr>
        <w:pStyle w:val="DSURGuidance"/>
        <w:spacing w:before="40"/>
      </w:pPr>
      <w:r>
        <w:rPr>
          <w:i/>
        </w:rPr>
        <w:t>Book: Chapter 11; E2F §3.19</w:t>
      </w:r>
    </w:p>
    <w:p>
      <w:pPr>
        <w:pStyle w:val="DSURGuidance"/>
        <w:spacing w:before="80"/>
      </w:pPr>
      <w:r>
        <w:rPr>
          <w:b/>
          <w:color w:val="5B7FA6"/>
          <w:sz w:val="16"/>
        </w:rPr>
        <w:t>GUIDANCE (DELETE BEFORE SUBMISSION)</w:t>
      </w:r>
    </w:p>
    <w:p>
      <w:pPr>
        <w:pStyle w:val="DSURGuidance"/>
        <w:spacing w:before="60"/>
      </w:pPr>
      <w:r>
        <w:rPr>
          <w:b/>
        </w:rPr>
        <w:t>Logic.</w:t>
      </w:r>
      <w:r>
        <w:rPr>
          <w:i w:val="0"/>
        </w:rPr>
        <w:t xml:space="preserve"> Section 19 answers which important identified and important potential risks the program carries, what is known about each now, and how trial subjects are protected from each. It is cumulative and re-evaluated every year from the cumulative nonclinical and clinical data, class effects, the Section 18 assessment and the risk register's decision records, and Section 18 discusses risks in its order (10.7, 11.1). It feeds Section 18.2, Section 20 and the Executive Summary, and must agree with the IB, the protocols, the consent forms and any risk management plan (11.7).</w:t>
      </w:r>
    </w:p>
    <w:p>
      <w:pPr>
        <w:pStyle w:val="DSURGuidance"/>
        <w:spacing w:before="60"/>
      </w:pPr>
      <w:r>
        <w:rPr>
          <w:b/>
        </w:rPr>
        <w:t>Message.</w:t>
      </w:r>
      <w:r>
        <w:rPr>
          <w:i w:val="0"/>
        </w:rPr>
        <w:t xml:space="preserve"> The risks that matter for trial subjects, with this year's new information marked and the measures that protect subjects from each.</w:t>
      </w:r>
    </w:p>
    <w:p>
      <w:pPr>
        <w:pStyle w:val="DSURGuidance"/>
        <w:spacing w:before="60"/>
      </w:pPr>
      <w:r>
        <w:rPr>
          <w:b/>
        </w:rPr>
        <w:t>Model:</w:t>
      </w:r>
      <w:r>
        <w:rPr>
          <w:i/>
        </w:rPr>
        <w:t xml:space="preserve"> [Risk] (important [identified/potential] risk). Basis: [evidence]. This period: [new information, or "no new information"]. Cumulative: [n cases / rate, with denominator]. Measures: [exclusion criteria, monitoring, stopping rules].</w:t>
      </w:r>
    </w:p>
    <w:p>
      <w:pPr>
        <w:pStyle w:val="DSURGuidance"/>
        <w:spacing w:before="60"/>
      </w:pPr>
      <w:r>
        <w:rPr>
          <w:b/>
        </w:rPr>
        <w:t>Anatomy.</w:t>
      </w:r>
      <w:r>
        <w:rPr>
          <w:i w:val="0"/>
        </w:rPr>
      </w:r>
    </w:p>
    <w:p>
      <w:pPr>
        <w:pStyle w:val="DSURGuidanceList"/>
        <w:tabs>
          <w:tab w:pos="539" w:val="left"/>
        </w:tabs>
      </w:pPr>
      <w:r>
        <w:t>1.</w:t>
        <w:tab/>
        <w:t>One entry per important risk, in narrative or tabular form. A four-column table suits most programs: risk and status (important identified or important potential); nonclinical data; cumulative clinical data, with new information in the period marked with an asterisk; and the measures in the trials, such as exclusion criteria, monitoring, stopping rules and consent language (11.1, 11.6).</w:t>
      </w:r>
    </w:p>
    <w:p>
      <w:pPr>
        <w:pStyle w:val="DSURGuidanceList"/>
        <w:tabs>
          <w:tab w:pos="539" w:val="left"/>
        </w:tabs>
      </w:pPr>
      <w:r>
        <w:t>2.</w:t>
        <w:tab/>
        <w:t>Within an entry, related events that share the risk's mechanism, risk factors and measures, named explicitly so that a reader looking for them finds them, as sepsis sits within serious infections (11.8).</w:t>
      </w:r>
    </w:p>
    <w:p>
      <w:pPr>
        <w:pStyle w:val="DSURGuidanceList"/>
        <w:tabs>
          <w:tab w:pos="539" w:val="left"/>
        </w:tabs>
      </w:pPr>
      <w:r>
        <w:t>3.</w:t>
        <w:tab/>
        <w:t>Resolved risks, kept and briefly described: why the risk was considered, what resolved it and any resulting change to the protocols (11.4).</w:t>
      </w:r>
    </w:p>
    <w:p>
      <w:pPr>
        <w:pStyle w:val="DSURGuidanceList"/>
        <w:tabs>
          <w:tab w:pos="539" w:val="left"/>
        </w:tabs>
      </w:pPr>
      <w:r>
        <w:t>4.</w:t>
        <w:tab/>
        <w:t>A note for any risk removed because it no longer meets the importance test, saying why (11.2).</w:t>
      </w:r>
    </w:p>
    <w:p>
      <w:pPr>
        <w:pStyle w:val="DSURGuidanceList"/>
        <w:tabs>
          <w:tab w:pos="539" w:val="left"/>
        </w:tabs>
      </w:pPr>
      <w:r>
        <w:t>5.</w:t>
        <w:tab/>
        <w:t>For a marketed drug, one sentence wherever a risk's name or status differs from the risk management plan, saying why (11.9).</w:t>
      </w:r>
    </w:p>
    <w:p>
      <w:pPr>
        <w:pStyle w:val="DSURGuidance"/>
        <w:spacing w:before="60"/>
      </w:pPr>
      <w:r>
        <w:rPr>
          <w:b/>
        </w:rPr>
        <w:t>Level of detail.</w:t>
      </w:r>
      <w:r>
        <w:rPr>
          <w:i w:val="0"/>
        </w:rPr>
      </w:r>
    </w:p>
    <w:p>
      <w:pPr>
        <w:pStyle w:val="DSURGuidanceList"/>
        <w:tabs>
          <w:tab w:pos="539" w:val="left"/>
        </w:tabs>
      </w:pPr>
      <w:r>
        <w:t>•</w:t>
        <w:tab/>
      </w:r>
      <w:r>
        <w:rPr>
          <w:b/>
        </w:rPr>
        <w:t>Early development (few subjects):</w:t>
      </w:r>
      <w:r>
        <w:t xml:space="preserve"> Individual cases are the evidence and are described, and each entry states its basis, often nonclinical findings, the mechanism or the class (11.5, 16.2). Where numbers are too small for rates, give subjects and follow-up instead (11.10).</w:t>
      </w:r>
    </w:p>
    <w:p>
      <w:pPr>
        <w:pStyle w:val="DSURGuidanceList"/>
        <w:tabs>
          <w:tab w:pos="539" w:val="left"/>
        </w:tabs>
      </w:pPr>
      <w:r>
        <w:t>•</w:t>
        <w:tab/>
      </w:r>
      <w:r>
        <w:rPr>
          <w:b/>
        </w:rPr>
        <w:t>Late development (large, often blinded trials):</w:t>
      </w:r>
      <w:r>
        <w:t xml:space="preserve"> Rates by arm replace case narratives, with the types of event, risk factors and monitoring (11.5); later summaries, written with more knowledge, may be less detailed than early ones (11.1).</w:t>
      </w:r>
    </w:p>
    <w:p>
      <w:pPr>
        <w:pStyle w:val="DSURGuidanceList"/>
        <w:tabs>
          <w:tab w:pos="539" w:val="left"/>
        </w:tabs>
      </w:pPr>
      <w:r>
        <w:t>•</w:t>
        <w:tab/>
      </w:r>
      <w:r>
        <w:rPr>
          <w:b/>
        </w:rPr>
        <w:t>Marketed drug:</w:t>
      </w:r>
      <w:r>
        <w:t xml:space="preserve"> Use the same risk names as the risk management plan's safety specification and, unless the trial populations justify a difference, the same statuses. The measures column lists the measures in the trials, not marketed risk minimization, and missing information enters only if the program treats it as a potential risk (11.9).</w:t>
      </w:r>
    </w:p>
    <w:p>
      <w:pPr>
        <w:pStyle w:val="DSURGuidanceList"/>
        <w:tabs>
          <w:tab w:pos="539" w:val="left"/>
        </w:tabs>
      </w:pPr>
      <w:r>
        <w:t>•</w:t>
        <w:tab/>
      </w:r>
      <w:r>
        <w:rPr>
          <w:b/>
        </w:rPr>
        <w:t>First DSUR / final DSUR:</w:t>
      </w:r>
      <w:r>
        <w:t xml:space="preserve"> The first list states the basis of each risk, so next year's reader can see what would change it (16.2). In a final DSUR the table serves as the closing statement of what the program knows about each risk (11.10).</w:t>
      </w:r>
    </w:p>
    <w:p>
      <w:pPr>
        <w:pStyle w:val="DSURGuidanceList"/>
        <w:tabs>
          <w:tab w:pos="539" w:val="left"/>
        </w:tabs>
      </w:pPr>
      <w:r>
        <w:t>•</w:t>
        <w:tab/>
      </w:r>
      <w:r>
        <w:rPr>
          <w:b/>
        </w:rPr>
        <w:t>Quiet year:</w:t>
      </w:r>
      <w:r>
        <w:t xml:space="preserve"> Re-evaluate every entry anyway, and mark updated follow-up with an asterisk even when no event occurred (11.10). For a risk that has never occurred, state the absence with the follow-up that makes it meaningful (11.5).</w:t>
      </w:r>
    </w:p>
    <w:p>
      <w:pPr>
        <w:pStyle w:val="DSURGuidance"/>
        <w:spacing w:before="60" w:after="120"/>
      </w:pPr>
      <w:r>
        <w:rPr>
          <w:b/>
        </w:rPr>
        <w:t>Ask:</w:t>
      </w:r>
      <w:r>
        <w:rPr>
          <w:i w:val="0"/>
        </w:rPr>
        <w:t xml:space="preserve"> Does the list match the IB, the protocols, the consent forms and any risk management plan? Has any risk been dropped without a resolution note? (Chapter 11)</w:t>
      </w:r>
    </w:p>
    <w:p>
      <w:pPr>
        <w:pStyle w:val="DSURPlaceholder"/>
      </w:pPr>
      <w:r>
        <w:t>[Section 19 text.]</w:t>
      </w:r>
    </w:p>
    <w:p>
      <w:pPr>
        <w:pStyle w:val="Heading1"/>
      </w:pPr>
      <w:r>
        <w:t>20. Conclusions</w:t>
      </w:r>
    </w:p>
    <w:p>
      <w:pPr>
        <w:pStyle w:val="DSURGuidance"/>
        <w:spacing w:before="40"/>
      </w:pPr>
      <w:r>
        <w:rPr>
          <w:i/>
        </w:rPr>
        <w:t>Book: Chapter 12; E2F §3.20</w:t>
      </w:r>
    </w:p>
    <w:p>
      <w:pPr>
        <w:pStyle w:val="DSURGuidance"/>
        <w:spacing w:before="80"/>
      </w:pPr>
      <w:r>
        <w:rPr>
          <w:b/>
          <w:color w:val="5B7FA6"/>
          <w:sz w:val="16"/>
        </w:rPr>
        <w:t>GUIDANCE (DELETE BEFORE SUBMISSION)</w:t>
      </w:r>
    </w:p>
    <w:p>
      <w:pPr>
        <w:pStyle w:val="DSURGuidance"/>
        <w:spacing w:before="60"/>
      </w:pPr>
      <w:r>
        <w:rPr>
          <w:b/>
        </w:rPr>
        <w:t>Logic.</w:t>
      </w:r>
      <w:r>
        <w:rPr>
          <w:i w:val="0"/>
        </w:rPr>
        <w:t xml:space="preserve"> Section 20 answers what changed in knowledge of the drug since the previous DSUR, and what the sponsor has done and will do about it. It comes last because it follows from Sections 18 and 19, introduces nothing that is not in the body, and cross-refers each action to its source section (12.3). It feeds the conclusion of the Executive Summary, next year's Section 20 and the commitments tracker (12.7).</w:t>
      </w:r>
    </w:p>
    <w:p>
      <w:pPr>
        <w:pStyle w:val="DSURGuidance"/>
        <w:spacing w:before="60"/>
      </w:pPr>
      <w:r>
        <w:rPr>
          <w:b/>
        </w:rPr>
        <w:t>Message.</w:t>
      </w:r>
      <w:r>
        <w:rPr>
          <w:i w:val="0"/>
        </w:rPr>
        <w:t xml:space="preserve"> What changed since the previous DSUR, in the terms used in Sections 18 and 19, and the specific actions taken and planned in the development program.</w:t>
      </w:r>
    </w:p>
    <w:p>
      <w:pPr>
        <w:pStyle w:val="DSURGuidance"/>
        <w:spacing w:before="60"/>
      </w:pPr>
      <w:r>
        <w:rPr>
          <w:b/>
        </w:rPr>
        <w:t>Model:</w:t>
      </w:r>
      <w:r>
        <w:rPr>
          <w:i/>
        </w:rPr>
        <w:t xml:space="preserve"> No new important risks were identified during the reporting period, and knowledge of the safety profile of [drug] has not changed in a way that affects the conduct of the development program (Sections 18 and 19). [Action] will be [added to / completed in] [trial or document] by [date]; its [implementation / result] will be reported in the next DSUR.</w:t>
      </w:r>
    </w:p>
    <w:p>
      <w:pPr>
        <w:pStyle w:val="DSURGuidance"/>
        <w:spacing w:before="60"/>
      </w:pPr>
      <w:r>
        <w:rPr>
          <w:b/>
        </w:rPr>
        <w:t>Anatomy.</w:t>
      </w:r>
      <w:r>
        <w:rPr>
          <w:i w:val="0"/>
        </w:rPr>
      </w:r>
    </w:p>
    <w:p>
      <w:pPr>
        <w:pStyle w:val="DSURGuidanceList"/>
        <w:tabs>
          <w:tab w:pos="539" w:val="left"/>
        </w:tabs>
      </w:pPr>
      <w:r>
        <w:t>1.</w:t>
        <w:tab/>
        <w:t>Changes in knowledge: changes to previous knowledge of safety and efficacy since the last DSUR, in the same terms used in Sections 18 and 19, or a plain statement that nothing changed (12.3).</w:t>
      </w:r>
    </w:p>
    <w:p>
      <w:pPr>
        <w:pStyle w:val="DSURGuidanceList"/>
        <w:tabs>
          <w:tab w:pos="539" w:val="left"/>
        </w:tabs>
      </w:pPr>
      <w:r>
        <w:t>2.</w:t>
        <w:tab/>
        <w:t>Last year's commitments: for each planned action in the previous Section 20, whether it was done, is in progress or was dropped, and why (1.8, 12.7).</w:t>
      </w:r>
    </w:p>
    <w:p>
      <w:pPr>
        <w:pStyle w:val="DSURGuidanceList"/>
        <w:tabs>
          <w:tab w:pos="539" w:val="left"/>
        </w:tabs>
      </w:pPr>
      <w:r>
        <w:t>3.</w:t>
        <w:tab/>
        <w:t>Actions taken in the period, each cross-referenced to Section 3 or 17 (12.3).</w:t>
      </w:r>
    </w:p>
    <w:p>
      <w:pPr>
        <w:pStyle w:val="DSURGuidanceList"/>
        <w:tabs>
          <w:tab w:pos="539" w:val="left"/>
        </w:tabs>
      </w:pPr>
      <w:r>
        <w:t>4.</w:t>
        <w:tab/>
        <w:t>Planned actions, few and checkable: what will be done, to which document or trial, by when, and where the result will be reported (12.7).</w:t>
      </w:r>
    </w:p>
    <w:p>
      <w:pPr>
        <w:pStyle w:val="DSURGuidanceList"/>
        <w:tabs>
          <w:tab w:pos="539" w:val="left"/>
        </w:tabs>
      </w:pPr>
      <w:r>
        <w:t>5.</w:t>
        <w:tab/>
        <w:t>The consequence for the trials, for example that no change to their conduct is considered necessary (12.3).</w:t>
      </w:r>
    </w:p>
    <w:p>
      <w:pPr>
        <w:pStyle w:val="DSURGuidance"/>
        <w:spacing w:before="60"/>
      </w:pPr>
      <w:r>
        <w:rPr>
          <w:b/>
        </w:rPr>
        <w:t>Level of detail.</w:t>
      </w:r>
      <w:r>
        <w:rPr>
          <w:i w:val="0"/>
        </w:rPr>
      </w:r>
    </w:p>
    <w:p>
      <w:pPr>
        <w:pStyle w:val="DSURGuidanceList"/>
        <w:tabs>
          <w:tab w:pos="539" w:val="left"/>
        </w:tabs>
      </w:pPr>
      <w:r>
        <w:t>•</w:t>
        <w:tab/>
      </w:r>
      <w:r>
        <w:rPr>
          <w:b/>
        </w:rPr>
        <w:t>Early development (few subjects):</w:t>
      </w:r>
      <w:r>
        <w:t xml:space="preserve"> Under a page (12.3), in the same terms as Sections 18 and 19.</w:t>
      </w:r>
    </w:p>
    <w:p>
      <w:pPr>
        <w:pStyle w:val="DSURGuidanceList"/>
        <w:tabs>
          <w:tab w:pos="539" w:val="left"/>
        </w:tabs>
      </w:pPr>
      <w:r>
        <w:t>•</w:t>
        <w:tab/>
      </w:r>
      <w:r>
        <w:rPr>
          <w:b/>
        </w:rPr>
        <w:t>Late development (large, often blinded trials):</w:t>
      </w:r>
      <w:r>
        <w:t xml:space="preserve"> Still under a page (12.3); length follows what is new, not what is known (1.7), and three specific actions are more credible than ten vague ones (12.7).</w:t>
      </w:r>
    </w:p>
    <w:p>
      <w:pPr>
        <w:pStyle w:val="DSURGuidanceList"/>
        <w:tabs>
          <w:tab w:pos="539" w:val="left"/>
        </w:tabs>
      </w:pPr>
      <w:r>
        <w:t>•</w:t>
        <w:tab/>
      </w:r>
      <w:r>
        <w:rPr>
          <w:b/>
        </w:rPr>
        <w:t>First DSUR / final DSUR:</w:t>
      </w:r>
      <w:r>
        <w:t xml:space="preserve"> In a final DSUR, Section 20 reads as a closing assessment for that region, not another annual increment (16.3). The first DSUR under a new sponsor reports on every commitment in the previous sponsor's last Section 20 (16.8).</w:t>
      </w:r>
    </w:p>
    <w:p>
      <w:pPr>
        <w:pStyle w:val="DSURGuidanceList"/>
        <w:tabs>
          <w:tab w:pos="539" w:val="left"/>
        </w:tabs>
      </w:pPr>
      <w:r>
        <w:t>•</w:t>
        <w:tab/>
      </w:r>
      <w:r>
        <w:rPr>
          <w:b/>
        </w:rPr>
        <w:t>Quiet year:</w:t>
      </w:r>
      <w:r>
        <w:t xml:space="preserve"> Say that nothing changed, and still report on each of last year's commitments (12.7). For a program on hold, state what must happen before the hold can be lifted, or that development has been discontinued (16.4).</w:t>
      </w:r>
    </w:p>
    <w:p>
      <w:pPr>
        <w:pStyle w:val="DSURGuidance"/>
        <w:spacing w:before="60" w:after="120"/>
      </w:pPr>
      <w:r>
        <w:rPr>
          <w:b/>
        </w:rPr>
        <w:t>Ask:</w:t>
      </w:r>
      <w:r>
        <w:rPr>
          <w:i w:val="0"/>
        </w:rPr>
        <w:t xml:space="preserve"> Does every action follow from Section 18, and does Section 20 say anything Section 18 does not? (Chapters 12 and 17)</w:t>
      </w:r>
    </w:p>
    <w:p>
      <w:pPr>
        <w:pStyle w:val="DSURPlaceholder"/>
      </w:pPr>
      <w:r>
        <w:t>[Section 20 text.]</w:t>
      </w:r>
    </w:p>
    <w:p>
      <w:pPr>
        <w:pStyle w:val="Heading1"/>
      </w:pPr>
      <w:r>
        <w:t>Appendices to the DSUR</w:t>
      </w:r>
    </w:p>
    <w:p>
      <w:pPr>
        <w:pStyle w:val="DSURGuidance"/>
        <w:spacing w:before="40"/>
      </w:pPr>
      <w:r>
        <w:rPr>
          <w:i/>
        </w:rPr>
        <w:t>Book: Chapters 5, 6, 8 and 14; E2F §2.7.2</w:t>
      </w:r>
    </w:p>
    <w:p>
      <w:pPr>
        <w:pStyle w:val="DSURGuidance"/>
        <w:spacing w:before="80"/>
      </w:pPr>
      <w:r>
        <w:rPr>
          <w:b/>
          <w:color w:val="5B7FA6"/>
          <w:sz w:val="16"/>
        </w:rPr>
        <w:t>GUIDANCE (DELETE BEFORE SUBMISSION)</w:t>
      </w:r>
    </w:p>
    <w:p>
      <w:pPr>
        <w:pStyle w:val="DSURGuidance"/>
        <w:spacing w:before="60"/>
      </w:pPr>
      <w:r>
        <w:rPr>
          <w:b/>
        </w:rPr>
        <w:t>Logic.</w:t>
      </w:r>
      <w:r>
        <w:rPr>
          <w:i w:val="0"/>
        </w:rPr>
        <w:t xml:space="preserve"> The appendices hold what the body cites but should not carry: listings, full tabulations, status lists and other tables that answer "how many?", so that each section can stay short and cross-refer instead of repeating (13.4, 13.6). Appendix 2 supports Section 3, Appendix 3 Section 5, Appendix 4 Section 6, and Appendices 5 and 6 Sections 7.2 and 7.3; Appendix 7 holds scientific abstracts, if relevant. They carry no analysis; what the data mean is said in Section 18 (1.6).</w:t>
      </w:r>
    </w:p>
    <w:p>
      <w:pPr>
        <w:pStyle w:val="DSURGuidance"/>
        <w:spacing w:before="60"/>
      </w:pPr>
      <w:r>
        <w:rPr>
          <w:b/>
        </w:rPr>
        <w:t>Anatomy.</w:t>
      </w:r>
      <w:r>
        <w:rPr>
          <w:i w:val="0"/>
        </w:rPr>
      </w:r>
    </w:p>
    <w:p>
      <w:pPr>
        <w:pStyle w:val="DSURGuidance"/>
      </w:pPr>
      <w:r>
        <w:rPr>
          <w:i w:val="0"/>
        </w:rPr>
        <w:t>E2F lists seven appendices, numbered as follows (E2F §2.7.2):</w:t>
      </w:r>
    </w:p>
    <w:p>
      <w:pPr>
        <w:pStyle w:val="DSURGuidanceList"/>
        <w:tabs>
          <w:tab w:pos="539" w:val="left"/>
        </w:tabs>
      </w:pPr>
      <w:r>
        <w:t>1.</w:t>
        <w:tab/>
        <w:t>Investigator's Brochure, if required by national or regional laws or regulations.</w:t>
      </w:r>
    </w:p>
    <w:p>
      <w:pPr>
        <w:pStyle w:val="DSURGuidanceList"/>
        <w:tabs>
          <w:tab w:pos="539" w:val="left"/>
        </w:tabs>
      </w:pPr>
      <w:r>
        <w:t>2.</w:t>
        <w:tab/>
        <w:t>Cumulative table of important regulatory requests.</w:t>
      </w:r>
    </w:p>
    <w:p>
      <w:pPr>
        <w:pStyle w:val="DSURGuidanceList"/>
        <w:tabs>
          <w:tab w:pos="539" w:val="left"/>
        </w:tabs>
      </w:pPr>
      <w:r>
        <w:t>3.</w:t>
        <w:tab/>
        <w:t>Status list of ongoing and completed clinical trials.</w:t>
      </w:r>
    </w:p>
    <w:p>
      <w:pPr>
        <w:pStyle w:val="DSURGuidanceList"/>
        <w:tabs>
          <w:tab w:pos="539" w:val="left"/>
        </w:tabs>
      </w:pPr>
      <w:r>
        <w:t>4.</w:t>
        <w:tab/>
        <w:t>Cumulative summary tabulations of demographic data.</w:t>
      </w:r>
    </w:p>
    <w:p>
      <w:pPr>
        <w:pStyle w:val="DSURGuidanceList"/>
        <w:tabs>
          <w:tab w:pos="539" w:val="left"/>
        </w:tabs>
      </w:pPr>
      <w:r>
        <w:t>5.</w:t>
        <w:tab/>
        <w:t>Line listings of serious adverse reactions.</w:t>
      </w:r>
    </w:p>
    <w:p>
      <w:pPr>
        <w:pStyle w:val="DSURGuidanceList"/>
        <w:tabs>
          <w:tab w:pos="539" w:val="left"/>
        </w:tabs>
      </w:pPr>
      <w:r>
        <w:t>6.</w:t>
        <w:tab/>
        <w:t>Cumulative summary tabulation of serious adverse events.</w:t>
      </w:r>
    </w:p>
    <w:p>
      <w:pPr>
        <w:pStyle w:val="DSURGuidanceList"/>
        <w:tabs>
          <w:tab w:pos="539" w:val="left"/>
        </w:tabs>
      </w:pPr>
      <w:r>
        <w:t>7.</w:t>
        <w:tab/>
        <w:t>Scientific abstracts, if relevant.</w:t>
      </w:r>
    </w:p>
    <w:p>
      <w:pPr>
        <w:pStyle w:val="DSURGuidance"/>
      </w:pPr>
      <w:r>
        <w:rPr>
          <w:i w:val="0"/>
        </w:rPr>
        <w:t>Regional appendices follow, as each region requires (Chapter 14).</w:t>
      </w:r>
    </w:p>
    <w:p>
      <w:pPr>
        <w:pStyle w:val="DSURGuidance"/>
        <w:spacing w:before="60"/>
      </w:pPr>
      <w:r>
        <w:rPr>
          <w:b/>
        </w:rPr>
        <w:t>Level of detail.</w:t>
      </w:r>
      <w:r>
        <w:rPr>
          <w:i w:val="0"/>
        </w:rPr>
      </w:r>
    </w:p>
    <w:p>
      <w:pPr>
        <w:pStyle w:val="DSURGuidanceList"/>
        <w:tabs>
          <w:tab w:pos="539" w:val="left"/>
        </w:tabs>
      </w:pPr>
      <w:r>
        <w:t>•</w:t>
        <w:tab/>
      </w:r>
      <w:r>
        <w:rPr>
          <w:b/>
        </w:rPr>
        <w:t>Early development (few subjects):</w:t>
      </w:r>
      <w:r>
        <w:t xml:space="preserve"> In an open-label dose-finding program, columns by dose level in Appendix 6 are often more informative than a single drug column (6.4).</w:t>
      </w:r>
    </w:p>
    <w:p>
      <w:pPr>
        <w:pStyle w:val="DSURGuidanceList"/>
        <w:tabs>
          <w:tab w:pos="539" w:val="left"/>
        </w:tabs>
      </w:pPr>
      <w:r>
        <w:t>•</w:t>
        <w:tab/>
      </w:r>
      <w:r>
        <w:rPr>
          <w:b/>
        </w:rPr>
        <w:t>Late development (large, often blinded trials):</w:t>
      </w:r>
      <w:r>
        <w:t xml:space="preserve"> Appendix 6 carries drug, placebo, comparator and blinded columns, split where populations or designs differ enough to matter for Section 18, with a pooled version as a second table if readers want it (6.4, 6.9). A pivotal trial gets its own demographics table in Appendix 4 (5.7).</w:t>
      </w:r>
    </w:p>
    <w:p>
      <w:pPr>
        <w:pStyle w:val="DSURGuidanceList"/>
        <w:tabs>
          <w:tab w:pos="539" w:val="left"/>
        </w:tabs>
      </w:pPr>
      <w:r>
        <w:t>•</w:t>
        <w:tab/>
      </w:r>
      <w:r>
        <w:rPr>
          <w:b/>
        </w:rPr>
        <w:t>Marketed drug:</w:t>
      </w:r>
      <w:r>
        <w:t xml:space="preserve"> Cases from marketed use are summarized in Section 11 and stay out of the trial listings; no case is counted twice without saying so (16.7).</w:t>
      </w:r>
    </w:p>
    <w:p>
      <w:pPr>
        <w:pStyle w:val="DSURGuidanceList"/>
        <w:tabs>
          <w:tab w:pos="539" w:val="left"/>
        </w:tabs>
      </w:pPr>
      <w:r>
        <w:t>•</w:t>
        <w:tab/>
      </w:r>
      <w:r>
        <w:rPr>
          <w:b/>
        </w:rPr>
        <w:t>Quiet year:</w:t>
      </w:r>
      <w:r>
        <w:t xml:space="preserve"> Appendix 2 stays cumulative, with closed requests kept and their resolution shown (8.4).</w:t>
      </w:r>
    </w:p>
    <w:p>
      <w:pPr>
        <w:pStyle w:val="DSURGuidance"/>
        <w:spacing w:before="60" w:after="120"/>
      </w:pPr>
      <w:r>
        <w:rPr>
          <w:b/>
        </w:rPr>
        <w:t>Ask:</w:t>
      </w:r>
      <w:r>
        <w:rPr>
          <w:i w:val="0"/>
        </w:rPr>
        <w:t xml:space="preserve"> Do the appendices support the sections that cite them? (Chapters 5, 6 and 8)</w:t>
      </w:r>
    </w:p>
    <w:p>
      <w:pPr>
        <w:pStyle w:val="Heading2"/>
      </w:pPr>
      <w:r>
        <w:t>Appendix 1. Investigator's Brochure (if required by national or regional laws or regulations)</w:t>
      </w:r>
    </w:p>
    <w:p>
      <w:pPr>
        <w:pStyle w:val="DSURPlaceholder"/>
      </w:pPr>
      <w:r>
        <w:t>[Appendix 1 content.]</w:t>
      </w:r>
    </w:p>
    <w:p>
      <w:pPr>
        <w:pStyle w:val="Heading2"/>
      </w:pPr>
      <w:r>
        <w:t>Appendix 2. Cumulative table of important regulatory requests</w:t>
      </w:r>
    </w:p>
    <w:p>
      <w:pPr>
        <w:pStyle w:val="DSURPlaceholder"/>
      </w:pPr>
      <w:r>
        <w:t>[Appendix 2 content.]</w:t>
      </w:r>
    </w:p>
    <w:p>
      <w:pPr>
        <w:pStyle w:val="Heading2"/>
      </w:pPr>
      <w:r>
        <w:t>Appendix 3. Status list of ongoing and completed clinical trials</w:t>
      </w:r>
    </w:p>
    <w:p>
      <w:pPr>
        <w:pStyle w:val="DSURPlaceholder"/>
      </w:pPr>
      <w:r>
        <w:t>[Appendix 3 content.]</w:t>
      </w:r>
    </w:p>
    <w:p>
      <w:pPr>
        <w:pStyle w:val="Heading2"/>
      </w:pPr>
      <w:r>
        <w:t>Appendix 4. Cumulative summary tabulations of demographic data</w:t>
      </w:r>
    </w:p>
    <w:p>
      <w:pPr>
        <w:pStyle w:val="DSURPlaceholder"/>
      </w:pPr>
      <w:r>
        <w:t>[Appendix 4 content.]</w:t>
      </w:r>
    </w:p>
    <w:p>
      <w:pPr>
        <w:pStyle w:val="Heading2"/>
      </w:pPr>
      <w:r>
        <w:t>Appendix 5. Line listings of serious adverse reactions</w:t>
      </w:r>
    </w:p>
    <w:p>
      <w:pPr>
        <w:pStyle w:val="DSURPlaceholder"/>
      </w:pPr>
      <w:r>
        <w:t>[Appendix 5 content.]</w:t>
      </w:r>
    </w:p>
    <w:p>
      <w:pPr>
        <w:pStyle w:val="Heading2"/>
      </w:pPr>
      <w:r>
        <w:t>Appendix 6. Cumulative summary tabulation of serious adverse events</w:t>
      </w:r>
    </w:p>
    <w:p>
      <w:pPr>
        <w:pStyle w:val="DSURPlaceholder"/>
      </w:pPr>
      <w:r>
        <w:t>[Appendix 6 content.]</w:t>
      </w:r>
    </w:p>
    <w:p>
      <w:pPr>
        <w:pStyle w:val="Heading2"/>
      </w:pPr>
      <w:r>
        <w:t>Appendix 7. Scientific abstracts (if relevant)</w:t>
      </w:r>
    </w:p>
    <w:p>
      <w:pPr>
        <w:pStyle w:val="DSURPlaceholder"/>
      </w:pPr>
      <w:r>
        <w:t>[Appendix 7 content.]</w:t>
      </w:r>
    </w:p>
    <w:p>
      <w:pPr>
        <w:pStyle w:val="Heading2"/>
      </w:pPr>
      <w:r>
        <w:t>Regional appendices</w:t>
      </w:r>
    </w:p>
    <w:p>
      <w:pPr>
        <w:pStyle w:val="DSURPlaceholder"/>
      </w:pPr>
      <w:r>
        <w:t>[Regional appendices, as each region requires (Chapter 14).]</w:t>
      </w:r>
    </w:p>
    <w:p>
      <w:r>
        <w:rPr>
          <w:i/>
          <w:sz w:val="16"/>
        </w:rPr>
        <w:t>Companion material to Writing the DSUR (Selim Medical Press). Fictional data. Not regulatory advice. CC BY-NC 4.0.</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6"/>
      </w:rPr>
      <w:t>Companion material to Writing the DSUR (Selim Medical Press). Fictional data. Not regulatory advice. CC BY-NC 4.0.</w:t>
    </w:r>
  </w:p>
  <w:p>
    <w:pPr>
      <w:jc w:val="center"/>
    </w:pPr>
    <w:r>
      <w:rPr>
        <w:sz w:val="16"/>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eastAsia="Calibri" w:cs="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eastAsia="Calibri" w:cs="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hAnsi="Calibri" w:eastAsia="Calibri" w:cs="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Calibri" w:hAnsi="Calibri" w:eastAsia="Calibri" w:cs="Calibri"/>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SURGuidance">
    <w:name w:val="DSUR Guidance"/>
    <w:basedOn w:val="Normal"/>
    <w:pPr>
      <w:spacing w:after="0" w:before="0"/>
      <w:ind w:left="142" w:right="142"/>
      <w:shd w:val="clear" w:color="auto" w:fill="E8EDF4"/>
      <w:pBdr>
        <w:left w:val="single" w:sz="18" w:space="6" w:color="5B7FA6"/>
      </w:pBdr>
    </w:pPr>
    <w:rPr>
      <w:color w:val="1F2D3D"/>
      <w:sz w:val="19"/>
    </w:rPr>
  </w:style>
  <w:style w:type="paragraph" w:customStyle="1" w:styleId="DSURGuidanceList">
    <w:name w:val="DSUR Guidance List"/>
    <w:basedOn w:val="DSURGuidance"/>
    <w:pPr>
      <w:ind w:left="539" w:hanging="340"/>
    </w:pPr>
  </w:style>
  <w:style w:type="paragraph" w:customStyle="1" w:styleId="DSURPlaceholder">
    <w:name w:val="DSUR Placeholder"/>
    <w:basedOn w:val="Normal"/>
    <w:pPr>
      <w:spacing w:before="160" w:after="20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Annotated DSUR shell (Appendix A section blueprints)</dc:title>
  <dc:subject/>
  <dc:creator>Selim Medical Press</dc:creator>
  <cp:keywords/>
  <dc:description>Companion material to Writing the DSUR (Selim Medical Press). Fictional data. Not regulatory advice. CC BY-NC 4.0.</dc:description>
  <cp:lastModifiedBy/>
  <cp:revision>1</cp:revision>
  <dcterms:created xsi:type="dcterms:W3CDTF">2013-12-23T23:15:00Z</dcterms:created>
  <dcterms:modified xsi:type="dcterms:W3CDTF">2013-12-23T23:15:00Z</dcterms:modified>
  <cp:category/>
</cp:coreProperties>
</file>