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864"/>
          <w:sz w:val="40"/>
        </w:rPr>
        <w:t>DEVELOPMENT SAFETY UPDATE REPORT</w:t>
      </w:r>
    </w:p>
    <w:p>
      <w:pPr>
        <w:jc w:val="center"/>
      </w:pPr>
      <w:commentRangeStart w:id="0"/>
      <w:r>
        <w:rPr>
          <w:b/>
          <w:i w:val="0"/>
          <w:sz w:val="28"/>
        </w:rPr>
        <w:t>Development Safety Update Report No. 5 for XB-7</w:t>
      </w:r>
      <w:commentRangeEnd w:id="0"/>
      <w:r>
        <w:rPr>
          <w:rStyle w:val="CommentReference"/>
        </w:rPr>
        <w:commentReference w:id="0"/>
      </w:r>
    </w:p>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3168"/>
        <w:gridCol w:w="6192"/>
      </w:tblGrid>
      <w:tr>
        <w:trPr>
          <w:cantSplit w:val="true"/>
          <w:tblHeader w:val="true"/>
        </w:trPr>
        <w:tc>
          <w:tcPr>
            <w:tcW w:type="dxa" w:w="3168"/>
            <w:shd w:val="clear" w:color="auto" w:fill="E8EDF4"/>
          </w:tcPr>
          <w:p>
            <w:pPr>
              <w:spacing w:after="0" w:line="240" w:lineRule="auto"/>
            </w:pPr>
            <w:r/>
            <w:r>
              <w:rPr>
                <w:b/>
                <w:sz w:val="20"/>
              </w:rPr>
              <w:t>Item</w:t>
            </w:r>
          </w:p>
        </w:tc>
        <w:tc>
          <w:tcPr>
            <w:tcW w:type="dxa" w:w="6192"/>
            <w:shd w:val="clear" w:color="auto" w:fill="E8EDF4"/>
          </w:tcPr>
          <w:p>
            <w:pPr>
              <w:spacing w:after="0" w:line="240" w:lineRule="auto"/>
            </w:pPr>
            <w:r/>
            <w:r>
              <w:rPr>
                <w:b/>
                <w:sz w:val="20"/>
              </w:rPr>
              <w:t>Detail</w:t>
            </w:r>
          </w:p>
        </w:tc>
      </w:tr>
      <w:tr>
        <w:trPr>
          <w:cantSplit w:val="true"/>
        </w:trPr>
        <w:tc>
          <w:tcPr>
            <w:tcW w:type="dxa" w:w="3168"/>
          </w:tcPr>
          <w:p>
            <w:pPr>
              <w:spacing w:after="0" w:line="240" w:lineRule="auto"/>
            </w:pPr>
            <w:r/>
            <w:r>
              <w:rPr>
                <w:b/>
                <w:sz w:val="20"/>
              </w:rPr>
              <w:t>Investigational drug</w:t>
            </w:r>
          </w:p>
        </w:tc>
        <w:tc>
          <w:tcPr>
            <w:tcW w:type="dxa" w:w="6192"/>
          </w:tcPr>
          <w:p>
            <w:pPr>
              <w:spacing w:after="0" w:line="240" w:lineRule="auto"/>
            </w:pPr>
            <w:r/>
            <w:r>
              <w:rPr>
                <w:sz w:val="20"/>
              </w:rPr>
              <w:t>XB-7, humanized IgG1 monoclonal antibody, 150 mg subcutaneous injection every 4 weeks</w:t>
            </w:r>
          </w:p>
        </w:tc>
      </w:tr>
      <w:tr>
        <w:trPr>
          <w:cantSplit w:val="true"/>
        </w:trPr>
        <w:tc>
          <w:tcPr>
            <w:tcW w:type="dxa" w:w="3168"/>
          </w:tcPr>
          <w:p>
            <w:pPr>
              <w:spacing w:after="0" w:line="240" w:lineRule="auto"/>
            </w:pPr>
            <w:r/>
            <w:r>
              <w:rPr>
                <w:b/>
                <w:sz w:val="20"/>
              </w:rPr>
              <w:t>Reporting period</w:t>
            </w:r>
          </w:p>
        </w:tc>
        <w:tc>
          <w:tcPr>
            <w:tcW w:type="dxa" w:w="6192"/>
          </w:tcPr>
          <w:p>
            <w:pPr>
              <w:spacing w:after="0" w:line="240" w:lineRule="auto"/>
            </w:pPr>
            <w:r/>
            <w:r>
              <w:rPr>
                <w:sz w:val="20"/>
              </w:rPr>
              <w:t>2 September 2025 to 1 September 2026</w:t>
            </w:r>
          </w:p>
        </w:tc>
      </w:tr>
      <w:tr>
        <w:trPr>
          <w:cantSplit w:val="true"/>
        </w:trPr>
        <w:tc>
          <w:tcPr>
            <w:tcW w:type="dxa" w:w="3168"/>
          </w:tcPr>
          <w:p>
            <w:pPr>
              <w:spacing w:after="0" w:line="240" w:lineRule="auto"/>
            </w:pPr>
            <w:r/>
            <w:r>
              <w:rPr>
                <w:b/>
                <w:sz w:val="20"/>
              </w:rPr>
              <w:t>Development international birth date</w:t>
            </w:r>
          </w:p>
        </w:tc>
        <w:tc>
          <w:tcPr>
            <w:tcW w:type="dxa" w:w="6192"/>
          </w:tcPr>
          <w:p>
            <w:pPr>
              <w:spacing w:after="0" w:line="240" w:lineRule="auto"/>
            </w:pPr>
            <w:r/>
            <w:r>
              <w:rPr>
                <w:sz w:val="20"/>
              </w:rPr>
              <w:t>2 September 2021</w:t>
            </w:r>
          </w:p>
        </w:tc>
      </w:tr>
      <w:tr>
        <w:trPr>
          <w:cantSplit w:val="true"/>
        </w:trPr>
        <w:tc>
          <w:tcPr>
            <w:tcW w:type="dxa" w:w="3168"/>
          </w:tcPr>
          <w:p>
            <w:pPr>
              <w:spacing w:after="0" w:line="240" w:lineRule="auto"/>
            </w:pPr>
            <w:r/>
            <w:r>
              <w:rPr>
                <w:b/>
                <w:sz w:val="20"/>
              </w:rPr>
              <w:t>Data lock point</w:t>
            </w:r>
          </w:p>
        </w:tc>
        <w:tc>
          <w:tcPr>
            <w:tcW w:type="dxa" w:w="6192"/>
          </w:tcPr>
          <w:p>
            <w:pPr>
              <w:spacing w:after="0" w:line="240" w:lineRule="auto"/>
            </w:pPr>
            <w:r/>
            <w:r>
              <w:rPr>
                <w:sz w:val="20"/>
              </w:rPr>
              <w:t>1 September 2026</w:t>
            </w:r>
          </w:p>
        </w:tc>
      </w:tr>
      <w:tr>
        <w:trPr>
          <w:cantSplit w:val="true"/>
        </w:trPr>
        <w:tc>
          <w:tcPr>
            <w:tcW w:type="dxa" w:w="3168"/>
          </w:tcPr>
          <w:p>
            <w:pPr>
              <w:spacing w:after="0" w:line="240" w:lineRule="auto"/>
            </w:pPr>
            <w:r/>
            <w:r>
              <w:rPr>
                <w:b/>
                <w:sz w:val="20"/>
              </w:rPr>
              <w:t>Date of this report</w:t>
            </w:r>
          </w:p>
        </w:tc>
        <w:tc>
          <w:tcPr>
            <w:tcW w:type="dxa" w:w="6192"/>
          </w:tcPr>
          <w:p>
            <w:pPr>
              <w:spacing w:after="0" w:line="240" w:lineRule="auto"/>
            </w:pPr>
            <w:r/>
            <w:r>
              <w:rPr>
                <w:sz w:val="20"/>
              </w:rPr>
              <w:t>21 October 2026</w:t>
            </w:r>
          </w:p>
        </w:tc>
      </w:tr>
      <w:tr>
        <w:trPr>
          <w:cantSplit w:val="true"/>
        </w:trPr>
        <w:tc>
          <w:tcPr>
            <w:tcW w:type="dxa" w:w="3168"/>
          </w:tcPr>
          <w:p>
            <w:pPr>
              <w:spacing w:after="0" w:line="240" w:lineRule="auto"/>
            </w:pPr>
            <w:r/>
            <w:r>
              <w:rPr>
                <w:b/>
                <w:sz w:val="20"/>
              </w:rPr>
              <w:t>Sponsor</w:t>
            </w:r>
          </w:p>
        </w:tc>
        <w:tc>
          <w:tcPr>
            <w:tcW w:type="dxa" w:w="6192"/>
          </w:tcPr>
          <w:p>
            <w:pPr>
              <w:spacing w:after="0" w:line="240" w:lineRule="auto"/>
            </w:pPr>
            <w:r/>
            <w:r>
              <w:rPr>
                <w:sz w:val="20"/>
              </w:rPr>
              <w:t>Calder Ridge Therapeutics, Inc. (fictional sponsor)</w:t>
            </w:r>
          </w:p>
          <w:p>
            <w:pPr>
              <w:spacing w:after="0"/>
            </w:pPr>
            <w:r>
              <w:rPr>
                <w:sz w:val="20"/>
              </w:rPr>
              <w:t>200 Example Parkway, Springfield, United States</w:t>
            </w:r>
          </w:p>
        </w:tc>
      </w:tr>
      <w:tr>
        <w:trPr>
          <w:cantSplit w:val="true"/>
        </w:trPr>
        <w:tc>
          <w:tcPr>
            <w:tcW w:type="dxa" w:w="3168"/>
          </w:tcPr>
          <w:p>
            <w:pPr>
              <w:spacing w:after="0" w:line="240" w:lineRule="auto"/>
            </w:pPr>
            <w:r/>
            <w:r>
              <w:rPr>
                <w:b/>
                <w:sz w:val="20"/>
              </w:rPr>
              <w:t>Regions</w:t>
            </w:r>
          </w:p>
        </w:tc>
        <w:tc>
          <w:tcPr>
            <w:tcW w:type="dxa" w:w="6192"/>
          </w:tcPr>
          <w:p>
            <w:pPr>
              <w:spacing w:after="0" w:line="240" w:lineRule="auto"/>
            </w:pPr>
            <w:r/>
            <w:r>
              <w:rPr>
                <w:sz w:val="20"/>
              </w:rPr>
              <w:t>United States (IND 123456); European Union (XB-301, EU CT 2024-511842-33-00; XB-302, EU CT 2023-504519-16-00); United Kingdom</w:t>
            </w:r>
          </w:p>
        </w:tc>
      </w:tr>
    </w:tbl>
    <w:p>
      <w:pPr>
        <w:spacing w:after="40"/>
      </w:pPr>
    </w:p>
    <w:p/>
    <w:p>
      <w:r>
        <w:rPr>
          <w:i w:val="0"/>
          <w:sz w:val="19"/>
        </w:rPr>
        <w:t>This report contains confidential information belonging to Calder Ridge Therapeutics, Inc. It is provided for regulatory review and must not be disclosed without the sponsor's written permission.</w:t>
      </w:r>
    </w:p>
    <w:p>
      <w:commentRangeStart w:id="1"/>
      <w:r>
        <w:rPr>
          <w:b/>
          <w:i w:val="0"/>
          <w:sz w:val="19"/>
        </w:rPr>
        <w:t xml:space="preserve">CAUTION: This report contains unblinded information. </w:t>
      </w:r>
      <w:r>
        <w:rPr>
          <w:sz w:val="19"/>
        </w:rPr>
        <w:t>Treatment assignments are given for two cases in the ongoing blinded trial XB-301 that were unblinded for expedited reporting. Distribution within the sponsor is restricted to the controlled list; a version with these assignments masked has been prepared for members of the XB-301 study team who must remain blinded.</w:t>
      </w:r>
      <w:commentRangeEnd w:id="1"/>
      <w:r>
        <w:rPr>
          <w:rStyle w:val="CommentReference"/>
        </w:rPr>
        <w:commentReference w:id="1"/>
      </w:r>
    </w:p>
    <w:p>
      <w:r>
        <w:rPr>
          <w:i/>
          <w:sz w:val="17"/>
        </w:rPr>
        <w:t>The indication and the molecular target of XB-7 are left generic in this fictional training example.</w:t>
      </w:r>
    </w:p>
    <w:p>
      <w:r>
        <w:br w:type="page"/>
      </w:r>
    </w:p>
    <w:p>
      <w:pPr>
        <w:pStyle w:val="Heading1"/>
      </w:pPr>
      <w:commentRangeStart w:id="2"/>
      <w:bookmarkStart w:id="1000" w:name="_TocES"/>
      <w:r>
        <w:t>Executive Summary</w:t>
      </w:r>
      <w:bookmarkEnd w:id="1000"/>
      <w:commentRangeEnd w:id="2"/>
      <w:r>
        <w:rPr>
          <w:rStyle w:val="CommentReference"/>
        </w:rPr>
        <w:commentReference w:id="2"/>
      </w:r>
    </w:p>
    <w:p>
      <w:r>
        <w:rPr>
          <w:i w:val="0"/>
        </w:rPr>
        <w:t>This is the fifth Development Safety Update Report (DSUR) for XB-7, a monoclonal antibody in development for moderate-to-severe autoimmune disease, covering 2 September 2025 to 1 September 2026. XB-7 neutralizes a pro-inflammatory cytokine and is given by subcutaneous injection, 150 mg every four weeks.</w:t>
      </w:r>
    </w:p>
    <w:p>
      <w:commentRangeStart w:id="3"/>
      <w:r>
        <w:rPr>
          <w:b/>
        </w:rPr>
        <w:t xml:space="preserve">Exposure. </w:t>
      </w:r>
      <w:r>
        <w:rPr>
          <w:i w:val="0"/>
        </w:rPr>
        <w:t>Since the development international birth date, approximately 380 subjects have received XB-7 and 190 placebo in the sponsor's trials. Exposure in the ongoing blinded Phase 3 trial XB-301 is estimated from its 2:1 randomization ratio; no data were unblinded for this report.</w:t>
      </w:r>
      <w:commentRangeEnd w:id="3"/>
      <w:r>
        <w:rPr>
          <w:rStyle w:val="CommentReference"/>
        </w:rPr>
        <w:commentReference w:id="3"/>
      </w:r>
    </w:p>
    <w:p>
      <w:r>
        <w:rPr>
          <w:b/>
        </w:rPr>
        <w:t xml:space="preserve">Marketing status. </w:t>
      </w:r>
      <w:r>
        <w:rPr>
          <w:i w:val="0"/>
        </w:rPr>
        <w:t>XB-7 is not approved in any country.</w:t>
      </w:r>
    </w:p>
    <w:p>
      <w:commentRangeStart w:id="4"/>
      <w:r>
        <w:rPr>
          <w:b/>
        </w:rPr>
        <w:t xml:space="preserve">Overall safety assessment. </w:t>
      </w:r>
      <w:r>
        <w:rPr>
          <w:i w:val="0"/>
        </w:rPr>
        <w:t>The completed Phase 2 trial XB-201 met its primary endpoint; serious infections occurred at 3.1 per 100 subject-years with XB-7 and 1.9 with placebo. During the period, 14 serious infections were reported across the program, about 3.5 per 100 subject-years across all arms, modestly above the 2.7 expected from XB-201's rates. Two cases of sepsis, both in subjects receiving XB-7, led to an update of the Investigator's Brochure. Infections were concentrated in older subjects and those on corticosteroids. After the data lock point, the Data Monitoring Committee reviewed unblinded data and recommended additional infection assessment at each visit for subjects aged 75 or older or receiving systemic corticosteroids, which the sponsor has accepted. No other new safety concern was identified.</w:t>
      </w:r>
      <w:commentRangeEnd w:id="4"/>
      <w:r>
        <w:rPr>
          <w:rStyle w:val="CommentReference"/>
        </w:rPr>
        <w:commentReference w:id="4"/>
      </w:r>
    </w:p>
    <w:p>
      <w:pPr>
        <w:keepNext/>
        <w:spacing w:after="40"/>
      </w:pPr>
      <w:r>
        <w:rPr>
          <w:b/>
        </w:rPr>
        <w:t>Important risks.</w:t>
      </w:r>
    </w:p>
    <w:p>
      <w:pPr>
        <w:pStyle w:val="ListBullet"/>
        <w:spacing w:after="60"/>
      </w:pPr>
      <w:commentRangeStart w:id="5"/>
      <w:r>
        <w:t>Serious infections (important identified risk), including sepsis; updated this period.</w:t>
      </w:r>
      <w:commentRangeEnd w:id="5"/>
      <w:r>
        <w:rPr>
          <w:rStyle w:val="CommentReference"/>
        </w:rPr>
        <w:commentReference w:id="5"/>
      </w:r>
    </w:p>
    <w:p>
      <w:pPr>
        <w:pStyle w:val="ListBullet"/>
        <w:spacing w:after="60"/>
      </w:pPr>
      <w:r>
        <w:t>Injection-site reactions (important identified risk); unchanged.</w:t>
      </w:r>
    </w:p>
    <w:p>
      <w:commentRangeStart w:id="6"/>
      <w:r>
        <w:rPr>
          <w:b/>
        </w:rPr>
        <w:t xml:space="preserve">Actions taken for safety reasons. </w:t>
      </w:r>
      <w:r>
        <w:rPr>
          <w:i w:val="0"/>
        </w:rPr>
        <w:t>IB Edition 6 (March 2026) added sepsis as an expected serious adverse reaction. Consent forms for XB-301 and XB-302 were revised to describe sepsis, and subjects were reconsented. A protocol amendment implementing the DMC's recommendation is in preparation.</w:t>
      </w:r>
      <w:commentRangeEnd w:id="6"/>
      <w:r>
        <w:rPr>
          <w:rStyle w:val="CommentReference"/>
        </w:rPr>
        <w:commentReference w:id="6"/>
      </w:r>
    </w:p>
    <w:p>
      <w:commentRangeStart w:id="7"/>
      <w:r>
        <w:rPr>
          <w:b/>
        </w:rPr>
        <w:t xml:space="preserve">Conclusion. </w:t>
      </w:r>
      <w:r>
        <w:rPr>
          <w:i w:val="0"/>
        </w:rPr>
        <w:t>The anticipated benefit of XB-7, supported by XB-201, and its important risks, managed through eligibility criteria, infection monitoring and DMC review, give a benefit-risk balance for trial subjects that is unchanged since the previous DSUR. Development continues with closer monitoring of the subgroups at greatest risk.</w:t>
      </w:r>
      <w:commentRangeEnd w:id="7"/>
      <w:r>
        <w:rPr>
          <w:rStyle w:val="CommentReference"/>
        </w:rPr>
        <w:commentReference w:id="7"/>
      </w:r>
    </w:p>
    <w:p>
      <w:r>
        <w:br w:type="page"/>
      </w:r>
    </w:p>
    <w:p>
      <w:pPr>
        <w:pStyle w:val="Heading1"/>
      </w:pPr>
      <w:commentRangeStart w:id="8"/>
      <w:r>
        <w:t>Table of Contents</w:t>
      </w:r>
      <w:commentRangeEnd w:id="8"/>
      <w:r>
        <w:rPr>
          <w:rStyle w:val="CommentReference"/>
        </w:rPr>
        <w:commentReference w:id="8"/>
      </w:r>
    </w:p>
    <w:p>
      <w:pPr>
        <w:pStyle w:val="TOC1"/>
      </w:pPr>
      <w:r>
        <w:fldChar w:fldCharType="begin"/>
      </w:r>
      <w:r>
        <w:instrText xml:space="preserve"> TOC \o "1-2" \h \z \u </w:instrText>
      </w:r>
      <w:r>
        <w:fldChar w:fldCharType="separate"/>
      </w:r>
      <w:hyperlink w:anchor="_TocES" w:history="1">
        <w:r>
          <w:t xml:space="preserve">Executive Summary</w:t>
        </w:r>
        <w:r>
          <w:tab/>
        </w:r>
        <w:r>
          <w:t xml:space="preserve">2</w:t>
        </w:r>
      </w:hyperlink>
    </w:p>
    <w:p>
      <w:pPr>
        <w:pStyle w:val="TOC1"/>
      </w:pPr>
      <w:hyperlink w:anchor="_Toc0002" w:history="1">
        <w:r>
          <w:t xml:space="preserve">List of Abbreviations</w:t>
        </w:r>
        <w:r>
          <w:tab/>
        </w:r>
        <w:r>
          <w:t xml:space="preserve">4</w:t>
        </w:r>
      </w:hyperlink>
    </w:p>
    <w:p>
      <w:pPr>
        <w:pStyle w:val="TOC1"/>
      </w:pPr>
      <w:hyperlink w:anchor="_Toc0003" w:history="1">
        <w:r>
          <w:t xml:space="preserve">1. Introduction</w:t>
        </w:r>
        <w:r>
          <w:tab/>
        </w:r>
        <w:r>
          <w:t xml:space="preserve">5</w:t>
        </w:r>
      </w:hyperlink>
    </w:p>
    <w:p>
      <w:pPr>
        <w:pStyle w:val="TOC1"/>
      </w:pPr>
      <w:hyperlink w:anchor="_Toc0004" w:history="1">
        <w:r>
          <w:t xml:space="preserve">2. Worldwide Marketing Approval Status</w:t>
        </w:r>
        <w:r>
          <w:tab/>
        </w:r>
        <w:r>
          <w:t xml:space="preserve">5</w:t>
        </w:r>
      </w:hyperlink>
    </w:p>
    <w:p>
      <w:pPr>
        <w:pStyle w:val="TOC1"/>
      </w:pPr>
      <w:hyperlink w:anchor="_Toc0005" w:history="1">
        <w:r>
          <w:t xml:space="preserve">3. Actions Taken in the Reporting Period for Safety Reasons</w:t>
        </w:r>
        <w:r>
          <w:tab/>
        </w:r>
        <w:r>
          <w:t xml:space="preserve">5</w:t>
        </w:r>
      </w:hyperlink>
    </w:p>
    <w:p>
      <w:pPr>
        <w:pStyle w:val="TOC1"/>
      </w:pPr>
      <w:hyperlink w:anchor="_Toc0006" w:history="1">
        <w:r>
          <w:t xml:space="preserve">4. Changes to Reference Safety Information</w:t>
        </w:r>
        <w:r>
          <w:tab/>
        </w:r>
        <w:r>
          <w:t xml:space="preserve">6</w:t>
        </w:r>
      </w:hyperlink>
    </w:p>
    <w:p>
      <w:pPr>
        <w:pStyle w:val="TOC1"/>
      </w:pPr>
      <w:hyperlink w:anchor="_Toc0007" w:history="1">
        <w:r>
          <w:t xml:space="preserve">5. Inventory of Clinical Trials Ongoing and Completed during the Reporting Period</w:t>
        </w:r>
        <w:r>
          <w:tab/>
        </w:r>
        <w:r>
          <w:t xml:space="preserve">6</w:t>
        </w:r>
      </w:hyperlink>
    </w:p>
    <w:p>
      <w:pPr>
        <w:pStyle w:val="TOC1"/>
      </w:pPr>
      <w:hyperlink w:anchor="_Toc0008" w:history="1">
        <w:r>
          <w:t xml:space="preserve">6. Estimated Cumulative Exposure</w:t>
        </w:r>
        <w:r>
          <w:tab/>
        </w:r>
        <w:r>
          <w:t xml:space="preserve">6</w:t>
        </w:r>
      </w:hyperlink>
    </w:p>
    <w:p>
      <w:pPr>
        <w:pStyle w:val="TOC2"/>
      </w:pPr>
      <w:hyperlink w:anchor="_Toc0009" w:history="1">
        <w:r>
          <w:t xml:space="preserve">6.1 Cumulative Subject Exposure in the Development Program</w:t>
        </w:r>
        <w:r>
          <w:tab/>
        </w:r>
        <w:r>
          <w:t xml:space="preserve">6</w:t>
        </w:r>
      </w:hyperlink>
    </w:p>
    <w:p>
      <w:pPr>
        <w:pStyle w:val="TOC2"/>
      </w:pPr>
      <w:hyperlink w:anchor="_Toc0010" w:history="1">
        <w:r>
          <w:t xml:space="preserve">6.2 Patient Exposure from Marketing Experience</w:t>
        </w:r>
        <w:r>
          <w:tab/>
        </w:r>
        <w:r>
          <w:t xml:space="preserve">7</w:t>
        </w:r>
      </w:hyperlink>
    </w:p>
    <w:p>
      <w:pPr>
        <w:pStyle w:val="TOC1"/>
      </w:pPr>
      <w:hyperlink w:anchor="_Toc0011" w:history="1">
        <w:r>
          <w:t xml:space="preserve">7. Data in Line Listings and Summary Tabulations</w:t>
        </w:r>
        <w:r>
          <w:tab/>
        </w:r>
        <w:r>
          <w:t xml:space="preserve">7</w:t>
        </w:r>
      </w:hyperlink>
    </w:p>
    <w:p>
      <w:pPr>
        <w:pStyle w:val="TOC2"/>
      </w:pPr>
      <w:hyperlink w:anchor="_Toc0012" w:history="1">
        <w:r>
          <w:t xml:space="preserve">7.1 Reference Information</w:t>
        </w:r>
        <w:r>
          <w:tab/>
        </w:r>
        <w:r>
          <w:t xml:space="preserve">7</w:t>
        </w:r>
      </w:hyperlink>
    </w:p>
    <w:p>
      <w:pPr>
        <w:pStyle w:val="TOC2"/>
      </w:pPr>
      <w:hyperlink w:anchor="_Toc0013" w:history="1">
        <w:r>
          <w:t xml:space="preserve">7.2 Line Listings of Serious Adverse Reactions</w:t>
        </w:r>
        <w:r>
          <w:tab/>
        </w:r>
        <w:r>
          <w:t xml:space="preserve">8</w:t>
        </w:r>
      </w:hyperlink>
    </w:p>
    <w:p>
      <w:pPr>
        <w:pStyle w:val="TOC2"/>
      </w:pPr>
      <w:hyperlink w:anchor="_Toc0014" w:history="1">
        <w:r>
          <w:t xml:space="preserve">7.3 Cumulative Summary Tabulations of Serious Adverse Events</w:t>
        </w:r>
        <w:r>
          <w:tab/>
        </w:r>
        <w:r>
          <w:t xml:space="preserve">8</w:t>
        </w:r>
      </w:hyperlink>
    </w:p>
    <w:p>
      <w:pPr>
        <w:pStyle w:val="TOC1"/>
      </w:pPr>
      <w:hyperlink w:anchor="_Toc0015" w:history="1">
        <w:r>
          <w:t xml:space="preserve">8. Significant Findings from Clinical Trials during the Reporting Period</w:t>
        </w:r>
        <w:r>
          <w:tab/>
        </w:r>
        <w:r>
          <w:t xml:space="preserve">8</w:t>
        </w:r>
      </w:hyperlink>
    </w:p>
    <w:p>
      <w:pPr>
        <w:pStyle w:val="TOC2"/>
      </w:pPr>
      <w:hyperlink w:anchor="_Toc0016" w:history="1">
        <w:r>
          <w:t xml:space="preserve">8.1 Completed Clinical Trials</w:t>
        </w:r>
        <w:r>
          <w:tab/>
        </w:r>
        <w:r>
          <w:t xml:space="preserve">8</w:t>
        </w:r>
      </w:hyperlink>
    </w:p>
    <w:p>
      <w:pPr>
        <w:pStyle w:val="TOC2"/>
      </w:pPr>
      <w:hyperlink w:anchor="_Toc0017" w:history="1">
        <w:r>
          <w:t xml:space="preserve">8.2 Ongoing Clinical Trials</w:t>
        </w:r>
        <w:r>
          <w:tab/>
        </w:r>
        <w:r>
          <w:t xml:space="preserve">8</w:t>
        </w:r>
      </w:hyperlink>
    </w:p>
    <w:p>
      <w:pPr>
        <w:pStyle w:val="TOC2"/>
      </w:pPr>
      <w:hyperlink w:anchor="_Toc0018" w:history="1">
        <w:r>
          <w:t xml:space="preserve">8.3 Long-term Follow-up</w:t>
        </w:r>
        <w:r>
          <w:tab/>
        </w:r>
        <w:r>
          <w:t xml:space="preserve">9</w:t>
        </w:r>
      </w:hyperlink>
    </w:p>
    <w:p>
      <w:pPr>
        <w:pStyle w:val="TOC2"/>
      </w:pPr>
      <w:hyperlink w:anchor="_Toc0019" w:history="1">
        <w:r>
          <w:t xml:space="preserve">8.4 Other Therapeutic Use of Investigational Drug</w:t>
        </w:r>
        <w:r>
          <w:tab/>
        </w:r>
        <w:r>
          <w:t xml:space="preserve">9</w:t>
        </w:r>
      </w:hyperlink>
    </w:p>
    <w:p>
      <w:pPr>
        <w:pStyle w:val="TOC2"/>
      </w:pPr>
      <w:hyperlink w:anchor="_Toc0020" w:history="1">
        <w:r>
          <w:t xml:space="preserve">8.5 New Safety Data Related to Combination Therapies</w:t>
        </w:r>
        <w:r>
          <w:tab/>
        </w:r>
        <w:r>
          <w:t xml:space="preserve">9</w:t>
        </w:r>
      </w:hyperlink>
    </w:p>
    <w:p>
      <w:pPr>
        <w:pStyle w:val="TOC1"/>
      </w:pPr>
      <w:hyperlink w:anchor="_Toc0021" w:history="1">
        <w:r>
          <w:t xml:space="preserve">9. Safety Findings from Non-interventional Studies</w:t>
        </w:r>
        <w:r>
          <w:tab/>
        </w:r>
        <w:r>
          <w:t xml:space="preserve">9</w:t>
        </w:r>
      </w:hyperlink>
    </w:p>
    <w:p>
      <w:pPr>
        <w:pStyle w:val="TOC1"/>
      </w:pPr>
      <w:hyperlink w:anchor="_Toc0022" w:history="1">
        <w:r>
          <w:t xml:space="preserve">10. Other Clinical Trial/Study Safety Information</w:t>
        </w:r>
        <w:r>
          <w:tab/>
        </w:r>
        <w:r>
          <w:t xml:space="preserve">9</w:t>
        </w:r>
      </w:hyperlink>
    </w:p>
    <w:p>
      <w:pPr>
        <w:pStyle w:val="TOC1"/>
      </w:pPr>
      <w:hyperlink w:anchor="_Toc0023" w:history="1">
        <w:r>
          <w:t xml:space="preserve">11. Safety Findings from Marketing Experience</w:t>
        </w:r>
        <w:r>
          <w:tab/>
        </w:r>
        <w:r>
          <w:t xml:space="preserve">9</w:t>
        </w:r>
      </w:hyperlink>
    </w:p>
    <w:p>
      <w:pPr>
        <w:pStyle w:val="TOC1"/>
      </w:pPr>
      <w:hyperlink w:anchor="_Toc0024" w:history="1">
        <w:r>
          <w:t xml:space="preserve">12. Non-clinical Data</w:t>
        </w:r>
        <w:r>
          <w:tab/>
        </w:r>
        <w:r>
          <w:t xml:space="preserve">9</w:t>
        </w:r>
      </w:hyperlink>
    </w:p>
    <w:p>
      <w:pPr>
        <w:pStyle w:val="TOC1"/>
      </w:pPr>
      <w:hyperlink w:anchor="_Toc0025" w:history="1">
        <w:r>
          <w:t xml:space="preserve">13. Literature</w:t>
        </w:r>
        <w:r>
          <w:tab/>
        </w:r>
        <w:r>
          <w:t xml:space="preserve">9</w:t>
        </w:r>
      </w:hyperlink>
    </w:p>
    <w:p>
      <w:pPr>
        <w:pStyle w:val="TOC1"/>
      </w:pPr>
      <w:hyperlink w:anchor="_Toc0026" w:history="1">
        <w:r>
          <w:t xml:space="preserve">14. Other DSURs</w:t>
        </w:r>
        <w:r>
          <w:tab/>
        </w:r>
        <w:r>
          <w:t xml:space="preserve">10</w:t>
        </w:r>
      </w:hyperlink>
    </w:p>
    <w:p>
      <w:pPr>
        <w:pStyle w:val="TOC1"/>
      </w:pPr>
      <w:hyperlink w:anchor="_Toc0027" w:history="1">
        <w:r>
          <w:t xml:space="preserve">15. Lack of Efficacy</w:t>
        </w:r>
        <w:r>
          <w:tab/>
        </w:r>
        <w:r>
          <w:t xml:space="preserve">10</w:t>
        </w:r>
      </w:hyperlink>
    </w:p>
    <w:p>
      <w:pPr>
        <w:pStyle w:val="TOC1"/>
      </w:pPr>
      <w:hyperlink w:anchor="_Toc0028" w:history="1">
        <w:r>
          <w:t xml:space="preserve">16. Region-specific Information</w:t>
        </w:r>
        <w:r>
          <w:tab/>
        </w:r>
        <w:r>
          <w:t xml:space="preserve">10</w:t>
        </w:r>
      </w:hyperlink>
    </w:p>
    <w:p>
      <w:pPr>
        <w:pStyle w:val="TOC1"/>
      </w:pPr>
      <w:hyperlink w:anchor="_Toc0029" w:history="1">
        <w:r>
          <w:t xml:space="preserve">17. Late-breaking Information</w:t>
        </w:r>
        <w:r>
          <w:tab/>
        </w:r>
        <w:r>
          <w:t xml:space="preserve">10</w:t>
        </w:r>
      </w:hyperlink>
    </w:p>
    <w:p>
      <w:pPr>
        <w:pStyle w:val="TOC1"/>
      </w:pPr>
      <w:hyperlink w:anchor="_Toc0030" w:history="1">
        <w:r>
          <w:t xml:space="preserve">18. Overall Safety Assessment</w:t>
        </w:r>
        <w:r>
          <w:tab/>
        </w:r>
        <w:r>
          <w:t xml:space="preserve">10</w:t>
        </w:r>
      </w:hyperlink>
    </w:p>
    <w:p>
      <w:pPr>
        <w:pStyle w:val="TOC2"/>
      </w:pPr>
      <w:hyperlink w:anchor="_Toc0031" w:history="1">
        <w:r>
          <w:t xml:space="preserve">18.1 Evaluation of the Risks</w:t>
        </w:r>
        <w:r>
          <w:tab/>
        </w:r>
        <w:r>
          <w:t xml:space="preserve">10</w:t>
        </w:r>
      </w:hyperlink>
    </w:p>
    <w:p>
      <w:pPr>
        <w:pStyle w:val="TOC2"/>
      </w:pPr>
      <w:hyperlink w:anchor="_Toc0035" w:history="1">
        <w:r>
          <w:t xml:space="preserve">18.2 Benefit-risk Considerations</w:t>
        </w:r>
        <w:r>
          <w:tab/>
        </w:r>
        <w:r>
          <w:t xml:space="preserve">13</w:t>
        </w:r>
      </w:hyperlink>
    </w:p>
    <w:p>
      <w:pPr>
        <w:pStyle w:val="TOC1"/>
      </w:pPr>
      <w:hyperlink w:anchor="_Toc0036" w:history="1">
        <w:r>
          <w:t xml:space="preserve">19. Summary of Important Risks</w:t>
        </w:r>
        <w:r>
          <w:tab/>
        </w:r>
        <w:r>
          <w:t xml:space="preserve">13</w:t>
        </w:r>
      </w:hyperlink>
    </w:p>
    <w:p>
      <w:pPr>
        <w:pStyle w:val="TOC1"/>
      </w:pPr>
      <w:hyperlink w:anchor="_Toc0037" w:history="1">
        <w:r>
          <w:t xml:space="preserve">20. Conclusions</w:t>
        </w:r>
        <w:r>
          <w:tab/>
        </w:r>
        <w:r>
          <w:t xml:space="preserve">13</w:t>
        </w:r>
      </w:hyperlink>
    </w:p>
    <w:p>
      <w:pPr>
        <w:pStyle w:val="TOC1"/>
      </w:pPr>
      <w:hyperlink w:anchor="_Toc0038" w:history="1">
        <w:r>
          <w:t xml:space="preserve">Appendices</w:t>
        </w:r>
        <w:r>
          <w:tab/>
        </w:r>
        <w:r>
          <w:t xml:space="preserve">15</w:t>
        </w:r>
      </w:hyperlink>
    </w:p>
    <w:p>
      <w:pPr>
        <w:pStyle w:val="TOC2"/>
      </w:pPr>
      <w:hyperlink w:anchor="_Toc0039" w:history="1">
        <w:r>
          <w:t xml:space="preserve">Appendix 1. Investigator's Brochure</w:t>
        </w:r>
        <w:r>
          <w:tab/>
        </w:r>
        <w:r>
          <w:t xml:space="preserve">15</w:t>
        </w:r>
      </w:hyperlink>
    </w:p>
    <w:p>
      <w:pPr>
        <w:pStyle w:val="TOC2"/>
      </w:pPr>
      <w:hyperlink w:anchor="_Toc0040" w:history="1">
        <w:r>
          <w:t xml:space="preserve">Appendix 2. Cumulative Table of Important Regulatory Requests</w:t>
        </w:r>
        <w:r>
          <w:tab/>
        </w:r>
        <w:r>
          <w:t xml:space="preserve">15</w:t>
        </w:r>
      </w:hyperlink>
    </w:p>
    <w:p>
      <w:pPr>
        <w:pStyle w:val="TOC2"/>
      </w:pPr>
      <w:hyperlink w:anchor="_Toc0041" w:history="1">
        <w:r>
          <w:t xml:space="preserve">Appendix 3. Status List of Ongoing and Completed Clinical Trials</w:t>
        </w:r>
        <w:r>
          <w:tab/>
        </w:r>
        <w:r>
          <w:t xml:space="preserve">15</w:t>
        </w:r>
      </w:hyperlink>
    </w:p>
    <w:p>
      <w:pPr>
        <w:pStyle w:val="TOC2"/>
      </w:pPr>
      <w:hyperlink w:anchor="_Toc0042" w:history="1">
        <w:r>
          <w:t xml:space="preserve">Appendix 4. Cumulative Summary Tabulations of Demographic Data</w:t>
        </w:r>
        <w:r>
          <w:tab/>
        </w:r>
        <w:r>
          <w:t xml:space="preserve">16</w:t>
        </w:r>
      </w:hyperlink>
    </w:p>
    <w:p>
      <w:pPr>
        <w:pStyle w:val="TOC2"/>
      </w:pPr>
      <w:hyperlink w:anchor="_Toc0043" w:history="1">
        <w:r>
          <w:t xml:space="preserve">Appendix 5. Line Listings of Serious Adverse Reactions</w:t>
        </w:r>
        <w:r>
          <w:tab/>
        </w:r>
        <w:r>
          <w:t xml:space="preserve">18</w:t>
        </w:r>
      </w:hyperlink>
    </w:p>
    <w:p>
      <w:pPr>
        <w:pStyle w:val="TOC2"/>
      </w:pPr>
      <w:hyperlink w:anchor="_Toc0044" w:history="1">
        <w:r>
          <w:t xml:space="preserve">Appendix 6. Cumulative Summary Tabulation of Serious Adverse Events</w:t>
        </w:r>
        <w:r>
          <w:tab/>
        </w:r>
        <w:r>
          <w:t xml:space="preserve">19</w:t>
        </w:r>
      </w:hyperlink>
    </w:p>
    <w:p>
      <w:pPr>
        <w:pStyle w:val="TOC2"/>
      </w:pPr>
      <w:hyperlink w:anchor="_Toc0045" w:history="1">
        <w:r>
          <w:t xml:space="preserve">Appendix 7. Scientific Abstracts</w:t>
        </w:r>
        <w:r>
          <w:tab/>
        </w:r>
        <w:r>
          <w:t xml:space="preserve">21</w:t>
        </w:r>
      </w:hyperlink>
    </w:p>
    <w:p>
      <w:pPr>
        <w:pStyle w:val="TOC1"/>
      </w:pPr>
      <w:hyperlink w:anchor="_Toc0046" w:history="1">
        <w:r>
          <w:t xml:space="preserve">Regional Appendices</w:t>
        </w:r>
        <w:r>
          <w:tab/>
        </w:r>
        <w:r>
          <w:t xml:space="preserve">21</w:t>
        </w:r>
      </w:hyperlink>
    </w:p>
    <w:p>
      <w:pPr>
        <w:pStyle w:val="TOC2"/>
      </w:pPr>
      <w:hyperlink w:anchor="_Toc0047" w:history="1">
        <w:r>
          <w:t xml:space="preserve">R1. Cumulative Summary Tabulation of Serious Adverse Reactions</w:t>
        </w:r>
        <w:r>
          <w:tab/>
        </w:r>
        <w:r>
          <w:t xml:space="preserve">21</w:t>
        </w:r>
      </w:hyperlink>
    </w:p>
    <w:p>
      <w:pPr>
        <w:pStyle w:val="TOC2"/>
      </w:pPr>
      <w:hyperlink w:anchor="_Toc0048" w:history="1">
        <w:r>
          <w:t xml:space="preserve">R2. Subjects Who Died during the Reporting Period</w:t>
        </w:r>
        <w:r>
          <w:tab/>
        </w:r>
        <w:r>
          <w:t xml:space="preserve">21</w:t>
        </w:r>
      </w:hyperlink>
    </w:p>
    <w:p>
      <w:pPr>
        <w:pStyle w:val="TOC2"/>
      </w:pPr>
      <w:hyperlink w:anchor="_Toc0049" w:history="1">
        <w:r>
          <w:t xml:space="preserve">R3. Subjects Who Withdrew from Treatment in Association with an Adverse Event</w:t>
        </w:r>
        <w:r>
          <w:tab/>
        </w:r>
        <w:r>
          <w:t xml:space="preserve">21</w:t>
        </w:r>
      </w:hyperlink>
    </w:p>
    <w:p>
      <w:pPr>
        <w:pStyle w:val="TOC2"/>
      </w:pPr>
      <w:hyperlink w:anchor="_Toc0050" w:history="1">
        <w:r>
          <w:t xml:space="preserve">R4. United States IND Items</w:t>
        </w:r>
        <w:r>
          <w:tab/>
        </w:r>
        <w:r>
          <w:t xml:space="preserve">22</w:t>
        </w:r>
      </w:hyperlink>
    </w:p>
    <w:p>
      <w:pPr>
        <w:pStyle w:val="TOC2"/>
      </w:pPr>
      <w:hyperlink w:anchor="_Toc0051" w:history="1">
        <w:r>
          <w:t xml:space="preserve">R5. United Kingdom</w:t>
        </w:r>
        <w:r>
          <w:tab/>
        </w:r>
        <w:r>
          <w:t xml:space="preserve">22</w:t>
        </w:r>
      </w:hyperlink>
      <w:r>
        <w:fldChar w:fldCharType="end"/>
      </w:r>
    </w:p>
    <w:p>
      <w:r>
        <w:br w:type="page"/>
      </w:r>
    </w:p>
    <w:p>
      <w:pPr>
        <w:pStyle w:val="Heading1"/>
      </w:pPr>
      <w:bookmarkStart w:id="1001" w:name="_Toc0002"/>
      <w:r>
        <w:t>List of Abbreviations</w:t>
      </w:r>
      <w:bookmarkEnd w:id="1001"/>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2015"/>
        <w:gridCol w:w="7343"/>
      </w:tblGrid>
      <w:tr>
        <w:trPr>
          <w:cantSplit w:val="true"/>
          <w:tblHeader w:val="true"/>
        </w:trPr>
        <w:tc>
          <w:tcPr>
            <w:tcW w:type="dxa" w:w="2016"/>
            <w:shd w:val="clear" w:color="auto" w:fill="E8EDF4"/>
          </w:tcPr>
          <w:p>
            <w:pPr>
              <w:spacing w:after="0" w:line="240" w:lineRule="auto"/>
            </w:pPr>
            <w:r/>
            <w:r>
              <w:rPr>
                <w:b/>
                <w:sz w:val="18"/>
              </w:rPr>
              <w:t>Abbreviation</w:t>
            </w:r>
          </w:p>
        </w:tc>
        <w:tc>
          <w:tcPr>
            <w:tcW w:type="dxa" w:w="7344"/>
            <w:shd w:val="clear" w:color="auto" w:fill="E8EDF4"/>
          </w:tcPr>
          <w:p>
            <w:pPr>
              <w:spacing w:after="0" w:line="240" w:lineRule="auto"/>
            </w:pPr>
            <w:r/>
            <w:r>
              <w:rPr>
                <w:b/>
                <w:sz w:val="18"/>
              </w:rPr>
              <w:t>Definition</w:t>
            </w:r>
          </w:p>
        </w:tc>
      </w:tr>
      <w:tr>
        <w:trPr>
          <w:cantSplit w:val="true"/>
        </w:trPr>
        <w:tc>
          <w:tcPr>
            <w:tcW w:type="dxa" w:w="2016"/>
          </w:tcPr>
          <w:p>
            <w:pPr>
              <w:spacing w:after="0" w:line="240" w:lineRule="auto"/>
            </w:pPr>
            <w:r/>
            <w:r>
              <w:rPr>
                <w:sz w:val="18"/>
              </w:rPr>
              <w:t>AE</w:t>
            </w:r>
          </w:p>
        </w:tc>
        <w:tc>
          <w:tcPr>
            <w:tcW w:type="dxa" w:w="7344"/>
          </w:tcPr>
          <w:p>
            <w:pPr>
              <w:spacing w:after="0" w:line="240" w:lineRule="auto"/>
            </w:pPr>
            <w:r/>
            <w:r>
              <w:rPr>
                <w:sz w:val="18"/>
              </w:rPr>
              <w:t>Adverse event</w:t>
            </w:r>
          </w:p>
        </w:tc>
      </w:tr>
      <w:tr>
        <w:trPr>
          <w:cantSplit w:val="true"/>
        </w:trPr>
        <w:tc>
          <w:tcPr>
            <w:tcW w:type="dxa" w:w="2016"/>
          </w:tcPr>
          <w:p>
            <w:pPr>
              <w:spacing w:after="0" w:line="240" w:lineRule="auto"/>
            </w:pPr>
            <w:r/>
            <w:r>
              <w:rPr>
                <w:sz w:val="18"/>
              </w:rPr>
              <w:t>CI</w:t>
            </w:r>
          </w:p>
        </w:tc>
        <w:tc>
          <w:tcPr>
            <w:tcW w:type="dxa" w:w="7344"/>
          </w:tcPr>
          <w:p>
            <w:pPr>
              <w:spacing w:after="0" w:line="240" w:lineRule="auto"/>
            </w:pPr>
            <w:r/>
            <w:r>
              <w:rPr>
                <w:sz w:val="18"/>
              </w:rPr>
              <w:t>Confidence interval</w:t>
            </w:r>
          </w:p>
        </w:tc>
      </w:tr>
      <w:tr>
        <w:trPr>
          <w:cantSplit w:val="true"/>
        </w:trPr>
        <w:tc>
          <w:tcPr>
            <w:tcW w:type="dxa" w:w="2016"/>
          </w:tcPr>
          <w:p>
            <w:pPr>
              <w:spacing w:after="0" w:line="240" w:lineRule="auto"/>
            </w:pPr>
            <w:r/>
            <w:r>
              <w:rPr>
                <w:sz w:val="18"/>
              </w:rPr>
              <w:t>CSR</w:t>
            </w:r>
          </w:p>
        </w:tc>
        <w:tc>
          <w:tcPr>
            <w:tcW w:type="dxa" w:w="7344"/>
          </w:tcPr>
          <w:p>
            <w:pPr>
              <w:spacing w:after="0" w:line="240" w:lineRule="auto"/>
            </w:pPr>
            <w:r/>
            <w:r>
              <w:rPr>
                <w:sz w:val="18"/>
              </w:rPr>
              <w:t>Clinical study report</w:t>
            </w:r>
          </w:p>
        </w:tc>
      </w:tr>
      <w:tr>
        <w:trPr>
          <w:cantSplit w:val="true"/>
        </w:trPr>
        <w:tc>
          <w:tcPr>
            <w:tcW w:type="dxa" w:w="2016"/>
          </w:tcPr>
          <w:p>
            <w:pPr>
              <w:spacing w:after="0" w:line="240" w:lineRule="auto"/>
            </w:pPr>
            <w:r/>
            <w:r>
              <w:rPr>
                <w:sz w:val="18"/>
              </w:rPr>
              <w:t>CTIS</w:t>
            </w:r>
          </w:p>
        </w:tc>
        <w:tc>
          <w:tcPr>
            <w:tcW w:type="dxa" w:w="7344"/>
          </w:tcPr>
          <w:p>
            <w:pPr>
              <w:spacing w:after="0" w:line="240" w:lineRule="auto"/>
            </w:pPr>
            <w:r/>
            <w:r>
              <w:rPr>
                <w:sz w:val="18"/>
              </w:rPr>
              <w:t>Clinical Trials Information System (EU)</w:t>
            </w:r>
          </w:p>
        </w:tc>
      </w:tr>
      <w:tr>
        <w:trPr>
          <w:cantSplit w:val="true"/>
        </w:trPr>
        <w:tc>
          <w:tcPr>
            <w:tcW w:type="dxa" w:w="2016"/>
          </w:tcPr>
          <w:p>
            <w:pPr>
              <w:spacing w:after="0" w:line="240" w:lineRule="auto"/>
            </w:pPr>
            <w:r/>
            <w:r>
              <w:rPr>
                <w:sz w:val="18"/>
              </w:rPr>
              <w:t>CTR</w:t>
            </w:r>
          </w:p>
        </w:tc>
        <w:tc>
          <w:tcPr>
            <w:tcW w:type="dxa" w:w="7344"/>
          </w:tcPr>
          <w:p>
            <w:pPr>
              <w:spacing w:after="0" w:line="240" w:lineRule="auto"/>
            </w:pPr>
            <w:r/>
            <w:r>
              <w:rPr>
                <w:sz w:val="18"/>
              </w:rPr>
              <w:t>Clinical Trials Regulation (EU) No 536/2014</w:t>
            </w:r>
          </w:p>
        </w:tc>
      </w:tr>
      <w:tr>
        <w:trPr>
          <w:cantSplit w:val="true"/>
        </w:trPr>
        <w:tc>
          <w:tcPr>
            <w:tcW w:type="dxa" w:w="2016"/>
          </w:tcPr>
          <w:p>
            <w:pPr>
              <w:spacing w:after="0" w:line="240" w:lineRule="auto"/>
            </w:pPr>
            <w:r/>
            <w:r>
              <w:rPr>
                <w:sz w:val="18"/>
              </w:rPr>
              <w:t>DIBD</w:t>
            </w:r>
          </w:p>
        </w:tc>
        <w:tc>
          <w:tcPr>
            <w:tcW w:type="dxa" w:w="7344"/>
          </w:tcPr>
          <w:p>
            <w:pPr>
              <w:spacing w:after="0" w:line="240" w:lineRule="auto"/>
            </w:pPr>
            <w:r/>
            <w:r>
              <w:rPr>
                <w:sz w:val="18"/>
              </w:rPr>
              <w:t>Development international birth date</w:t>
            </w:r>
          </w:p>
        </w:tc>
      </w:tr>
      <w:tr>
        <w:trPr>
          <w:cantSplit w:val="true"/>
        </w:trPr>
        <w:tc>
          <w:tcPr>
            <w:tcW w:type="dxa" w:w="2016"/>
          </w:tcPr>
          <w:p>
            <w:pPr>
              <w:spacing w:after="0" w:line="240" w:lineRule="auto"/>
            </w:pPr>
            <w:r/>
            <w:r>
              <w:rPr>
                <w:sz w:val="18"/>
              </w:rPr>
              <w:t>DLP</w:t>
            </w:r>
          </w:p>
        </w:tc>
        <w:tc>
          <w:tcPr>
            <w:tcW w:type="dxa" w:w="7344"/>
          </w:tcPr>
          <w:p>
            <w:pPr>
              <w:spacing w:after="0" w:line="240" w:lineRule="auto"/>
            </w:pPr>
            <w:r/>
            <w:r>
              <w:rPr>
                <w:sz w:val="18"/>
              </w:rPr>
              <w:t>Data lock point</w:t>
            </w:r>
          </w:p>
        </w:tc>
      </w:tr>
      <w:tr>
        <w:trPr>
          <w:cantSplit w:val="true"/>
        </w:trPr>
        <w:tc>
          <w:tcPr>
            <w:tcW w:type="dxa" w:w="2016"/>
          </w:tcPr>
          <w:p>
            <w:pPr>
              <w:spacing w:after="0" w:line="240" w:lineRule="auto"/>
            </w:pPr>
            <w:r/>
            <w:r>
              <w:rPr>
                <w:sz w:val="18"/>
              </w:rPr>
              <w:t>DMC</w:t>
            </w:r>
          </w:p>
        </w:tc>
        <w:tc>
          <w:tcPr>
            <w:tcW w:type="dxa" w:w="7344"/>
          </w:tcPr>
          <w:p>
            <w:pPr>
              <w:spacing w:after="0" w:line="240" w:lineRule="auto"/>
            </w:pPr>
            <w:r/>
            <w:r>
              <w:rPr>
                <w:sz w:val="18"/>
              </w:rPr>
              <w:t>Data Monitoring Committee</w:t>
            </w:r>
          </w:p>
        </w:tc>
      </w:tr>
      <w:tr>
        <w:trPr>
          <w:cantSplit w:val="true"/>
        </w:trPr>
        <w:tc>
          <w:tcPr>
            <w:tcW w:type="dxa" w:w="2016"/>
          </w:tcPr>
          <w:p>
            <w:pPr>
              <w:spacing w:after="0" w:line="240" w:lineRule="auto"/>
            </w:pPr>
            <w:r/>
            <w:r>
              <w:rPr>
                <w:sz w:val="18"/>
              </w:rPr>
              <w:t>DSUR</w:t>
            </w:r>
          </w:p>
        </w:tc>
        <w:tc>
          <w:tcPr>
            <w:tcW w:type="dxa" w:w="7344"/>
          </w:tcPr>
          <w:p>
            <w:pPr>
              <w:spacing w:after="0" w:line="240" w:lineRule="auto"/>
            </w:pPr>
            <w:r/>
            <w:r>
              <w:rPr>
                <w:sz w:val="18"/>
              </w:rPr>
              <w:t>Development Safety Update Report</w:t>
            </w:r>
          </w:p>
        </w:tc>
      </w:tr>
      <w:tr>
        <w:trPr>
          <w:cantSplit w:val="true"/>
        </w:trPr>
        <w:tc>
          <w:tcPr>
            <w:tcW w:type="dxa" w:w="2016"/>
          </w:tcPr>
          <w:p>
            <w:pPr>
              <w:spacing w:after="0" w:line="240" w:lineRule="auto"/>
            </w:pPr>
            <w:r/>
            <w:r>
              <w:rPr>
                <w:sz w:val="18"/>
              </w:rPr>
              <w:t>IB</w:t>
            </w:r>
          </w:p>
        </w:tc>
        <w:tc>
          <w:tcPr>
            <w:tcW w:type="dxa" w:w="7344"/>
          </w:tcPr>
          <w:p>
            <w:pPr>
              <w:spacing w:after="0" w:line="240" w:lineRule="auto"/>
            </w:pPr>
            <w:r/>
            <w:r>
              <w:rPr>
                <w:sz w:val="18"/>
              </w:rPr>
              <w:t>Investigator's Brochure</w:t>
            </w:r>
          </w:p>
        </w:tc>
      </w:tr>
      <w:tr>
        <w:trPr>
          <w:cantSplit w:val="true"/>
        </w:trPr>
        <w:tc>
          <w:tcPr>
            <w:tcW w:type="dxa" w:w="2016"/>
          </w:tcPr>
          <w:p>
            <w:pPr>
              <w:spacing w:after="0" w:line="240" w:lineRule="auto"/>
            </w:pPr>
            <w:r/>
            <w:r>
              <w:rPr>
                <w:sz w:val="18"/>
              </w:rPr>
              <w:t>IND</w:t>
            </w:r>
          </w:p>
        </w:tc>
        <w:tc>
          <w:tcPr>
            <w:tcW w:type="dxa" w:w="7344"/>
          </w:tcPr>
          <w:p>
            <w:pPr>
              <w:spacing w:after="0" w:line="240" w:lineRule="auto"/>
            </w:pPr>
            <w:r/>
            <w:r>
              <w:rPr>
                <w:sz w:val="18"/>
              </w:rPr>
              <w:t>Investigational New Drug application (United States)</w:t>
            </w:r>
          </w:p>
        </w:tc>
      </w:tr>
      <w:tr>
        <w:trPr>
          <w:cantSplit w:val="true"/>
        </w:trPr>
        <w:tc>
          <w:tcPr>
            <w:tcW w:type="dxa" w:w="2016"/>
          </w:tcPr>
          <w:p>
            <w:pPr>
              <w:spacing w:after="0" w:line="240" w:lineRule="auto"/>
            </w:pPr>
            <w:r/>
            <w:r>
              <w:rPr>
                <w:sz w:val="18"/>
              </w:rPr>
              <w:t>MedDRA</w:t>
            </w:r>
          </w:p>
        </w:tc>
        <w:tc>
          <w:tcPr>
            <w:tcW w:type="dxa" w:w="7344"/>
          </w:tcPr>
          <w:p>
            <w:pPr>
              <w:spacing w:after="0" w:line="240" w:lineRule="auto"/>
            </w:pPr>
            <w:r/>
            <w:r>
              <w:rPr>
                <w:sz w:val="18"/>
              </w:rPr>
              <w:t>Medical Dictionary for Regulatory Activities</w:t>
            </w:r>
          </w:p>
        </w:tc>
      </w:tr>
      <w:tr>
        <w:trPr>
          <w:cantSplit w:val="true"/>
        </w:trPr>
        <w:tc>
          <w:tcPr>
            <w:tcW w:type="dxa" w:w="2016"/>
          </w:tcPr>
          <w:p>
            <w:pPr>
              <w:spacing w:after="0" w:line="240" w:lineRule="auto"/>
            </w:pPr>
            <w:r/>
            <w:r>
              <w:rPr>
                <w:sz w:val="18"/>
              </w:rPr>
              <w:t>MHRA</w:t>
            </w:r>
          </w:p>
        </w:tc>
        <w:tc>
          <w:tcPr>
            <w:tcW w:type="dxa" w:w="7344"/>
          </w:tcPr>
          <w:p>
            <w:pPr>
              <w:spacing w:after="0" w:line="240" w:lineRule="auto"/>
            </w:pPr>
            <w:r/>
            <w:r>
              <w:rPr>
                <w:sz w:val="18"/>
              </w:rPr>
              <w:t>Medicines and Healthcare products Regulatory Agency (United Kingdom)</w:t>
            </w:r>
          </w:p>
        </w:tc>
      </w:tr>
      <w:tr>
        <w:trPr>
          <w:cantSplit w:val="true"/>
        </w:trPr>
        <w:tc>
          <w:tcPr>
            <w:tcW w:type="dxa" w:w="2016"/>
          </w:tcPr>
          <w:p>
            <w:pPr>
              <w:spacing w:after="0" w:line="240" w:lineRule="auto"/>
            </w:pPr>
            <w:r/>
            <w:r>
              <w:rPr>
                <w:sz w:val="18"/>
              </w:rPr>
              <w:t>PT</w:t>
            </w:r>
          </w:p>
        </w:tc>
        <w:tc>
          <w:tcPr>
            <w:tcW w:type="dxa" w:w="7344"/>
          </w:tcPr>
          <w:p>
            <w:pPr>
              <w:spacing w:after="0" w:line="240" w:lineRule="auto"/>
            </w:pPr>
            <w:r/>
            <w:r>
              <w:rPr>
                <w:sz w:val="18"/>
              </w:rPr>
              <w:t>Preferred Term</w:t>
            </w:r>
          </w:p>
        </w:tc>
      </w:tr>
      <w:tr>
        <w:trPr>
          <w:cantSplit w:val="true"/>
        </w:trPr>
        <w:tc>
          <w:tcPr>
            <w:tcW w:type="dxa" w:w="2016"/>
          </w:tcPr>
          <w:p>
            <w:pPr>
              <w:spacing w:after="0" w:line="240" w:lineRule="auto"/>
            </w:pPr>
            <w:r/>
            <w:r>
              <w:rPr>
                <w:sz w:val="18"/>
              </w:rPr>
              <w:t>RSI</w:t>
            </w:r>
          </w:p>
        </w:tc>
        <w:tc>
          <w:tcPr>
            <w:tcW w:type="dxa" w:w="7344"/>
          </w:tcPr>
          <w:p>
            <w:pPr>
              <w:spacing w:after="0" w:line="240" w:lineRule="auto"/>
            </w:pPr>
            <w:r/>
            <w:r>
              <w:rPr>
                <w:sz w:val="18"/>
              </w:rPr>
              <w:t>Reference safety information</w:t>
            </w:r>
          </w:p>
        </w:tc>
      </w:tr>
      <w:tr>
        <w:trPr>
          <w:cantSplit w:val="true"/>
        </w:trPr>
        <w:tc>
          <w:tcPr>
            <w:tcW w:type="dxa" w:w="2016"/>
          </w:tcPr>
          <w:p>
            <w:pPr>
              <w:spacing w:after="0" w:line="240" w:lineRule="auto"/>
            </w:pPr>
            <w:r/>
            <w:r>
              <w:rPr>
                <w:sz w:val="18"/>
              </w:rPr>
              <w:t>SAE</w:t>
            </w:r>
          </w:p>
        </w:tc>
        <w:tc>
          <w:tcPr>
            <w:tcW w:type="dxa" w:w="7344"/>
          </w:tcPr>
          <w:p>
            <w:pPr>
              <w:spacing w:after="0" w:line="240" w:lineRule="auto"/>
            </w:pPr>
            <w:r/>
            <w:r>
              <w:rPr>
                <w:sz w:val="18"/>
              </w:rPr>
              <w:t>Serious adverse event</w:t>
            </w:r>
          </w:p>
        </w:tc>
      </w:tr>
      <w:tr>
        <w:trPr>
          <w:cantSplit w:val="true"/>
        </w:trPr>
        <w:tc>
          <w:tcPr>
            <w:tcW w:type="dxa" w:w="2016"/>
          </w:tcPr>
          <w:p>
            <w:pPr>
              <w:spacing w:after="0" w:line="240" w:lineRule="auto"/>
            </w:pPr>
            <w:r/>
            <w:r>
              <w:rPr>
                <w:sz w:val="18"/>
              </w:rPr>
              <w:t>SAR</w:t>
            </w:r>
          </w:p>
        </w:tc>
        <w:tc>
          <w:tcPr>
            <w:tcW w:type="dxa" w:w="7344"/>
          </w:tcPr>
          <w:p>
            <w:pPr>
              <w:spacing w:after="0" w:line="240" w:lineRule="auto"/>
            </w:pPr>
            <w:r/>
            <w:r>
              <w:rPr>
                <w:sz w:val="18"/>
              </w:rPr>
              <w:t>Serious adverse reaction</w:t>
            </w:r>
          </w:p>
        </w:tc>
      </w:tr>
      <w:tr>
        <w:trPr>
          <w:cantSplit w:val="true"/>
        </w:trPr>
        <w:tc>
          <w:tcPr>
            <w:tcW w:type="dxa" w:w="2016"/>
          </w:tcPr>
          <w:p>
            <w:pPr>
              <w:spacing w:after="0" w:line="240" w:lineRule="auto"/>
            </w:pPr>
            <w:r/>
            <w:r>
              <w:rPr>
                <w:sz w:val="18"/>
              </w:rPr>
              <w:t>SC</w:t>
            </w:r>
          </w:p>
        </w:tc>
        <w:tc>
          <w:tcPr>
            <w:tcW w:type="dxa" w:w="7344"/>
          </w:tcPr>
          <w:p>
            <w:pPr>
              <w:spacing w:after="0" w:line="240" w:lineRule="auto"/>
            </w:pPr>
            <w:r/>
            <w:r>
              <w:rPr>
                <w:sz w:val="18"/>
              </w:rPr>
              <w:t>Subcutaneous</w:t>
            </w:r>
          </w:p>
        </w:tc>
      </w:tr>
      <w:tr>
        <w:trPr>
          <w:cantSplit w:val="true"/>
        </w:trPr>
        <w:tc>
          <w:tcPr>
            <w:tcW w:type="dxa" w:w="2016"/>
          </w:tcPr>
          <w:p>
            <w:pPr>
              <w:spacing w:after="0" w:line="240" w:lineRule="auto"/>
            </w:pPr>
            <w:r/>
            <w:r>
              <w:rPr>
                <w:sz w:val="18"/>
              </w:rPr>
              <w:t>SOC</w:t>
            </w:r>
          </w:p>
        </w:tc>
        <w:tc>
          <w:tcPr>
            <w:tcW w:type="dxa" w:w="7344"/>
          </w:tcPr>
          <w:p>
            <w:pPr>
              <w:spacing w:after="0" w:line="240" w:lineRule="auto"/>
            </w:pPr>
            <w:r/>
            <w:r>
              <w:rPr>
                <w:sz w:val="18"/>
              </w:rPr>
              <w:t>System Organ Class</w:t>
            </w:r>
          </w:p>
        </w:tc>
      </w:tr>
      <w:tr>
        <w:trPr>
          <w:cantSplit w:val="true"/>
        </w:trPr>
        <w:tc>
          <w:tcPr>
            <w:tcW w:type="dxa" w:w="2016"/>
          </w:tcPr>
          <w:p>
            <w:pPr>
              <w:spacing w:after="0" w:line="240" w:lineRule="auto"/>
            </w:pPr>
            <w:r/>
            <w:r>
              <w:rPr>
                <w:sz w:val="18"/>
              </w:rPr>
              <w:t>SUSAR</w:t>
            </w:r>
          </w:p>
        </w:tc>
        <w:tc>
          <w:tcPr>
            <w:tcW w:type="dxa" w:w="7344"/>
          </w:tcPr>
          <w:p>
            <w:pPr>
              <w:spacing w:after="0" w:line="240" w:lineRule="auto"/>
            </w:pPr>
            <w:r/>
            <w:r>
              <w:rPr>
                <w:sz w:val="18"/>
              </w:rPr>
              <w:t>Suspected unexpected serious adverse reaction</w:t>
            </w:r>
          </w:p>
        </w:tc>
      </w:tr>
      <w:tr>
        <w:trPr>
          <w:cantSplit w:val="true"/>
        </w:trPr>
        <w:tc>
          <w:tcPr>
            <w:tcW w:type="dxa" w:w="2016"/>
          </w:tcPr>
          <w:p>
            <w:pPr>
              <w:spacing w:after="0" w:line="240" w:lineRule="auto"/>
            </w:pPr>
            <w:r/>
            <w:r>
              <w:rPr>
                <w:sz w:val="18"/>
              </w:rPr>
              <w:t>SY</w:t>
            </w:r>
          </w:p>
        </w:tc>
        <w:tc>
          <w:tcPr>
            <w:tcW w:type="dxa" w:w="7344"/>
          </w:tcPr>
          <w:p>
            <w:pPr>
              <w:spacing w:after="0" w:line="240" w:lineRule="auto"/>
            </w:pPr>
            <w:r/>
            <w:r>
              <w:rPr>
                <w:sz w:val="18"/>
              </w:rPr>
              <w:t>Subject-years</w:t>
            </w:r>
          </w:p>
        </w:tc>
      </w:tr>
    </w:tbl>
    <w:p>
      <w:pPr>
        <w:spacing w:after="40"/>
      </w:pPr>
    </w:p>
    <w:p>
      <w:r>
        <w:br w:type="page"/>
      </w:r>
    </w:p>
    <w:p>
      <w:pPr>
        <w:pStyle w:val="Heading1"/>
      </w:pPr>
      <w:commentRangeStart w:id="9"/>
      <w:bookmarkStart w:id="1002" w:name="_Toc0003"/>
      <w:r>
        <w:t>1. Introduction</w:t>
      </w:r>
      <w:bookmarkEnd w:id="1002"/>
      <w:commentRangeEnd w:id="9"/>
      <w:r>
        <w:rPr>
          <w:rStyle w:val="CommentReference"/>
        </w:rPr>
        <w:commentReference w:id="9"/>
      </w:r>
    </w:p>
    <w:p>
      <w:r>
        <w:rPr>
          <w:i w:val="0"/>
        </w:rPr>
        <w:t>This is the fifth Development Safety Update Report (DSUR) for XB-7. It covers the reporting period from 2 September 2025 to 1 September 2026. The development international birth date (DIBD) is 2 September 2021, the date of the first authorization of a clinical trial of XB-7 (United States), and the data lock point (DLP) is 1 September of each year.</w:t>
      </w:r>
    </w:p>
    <w:p>
      <w:r>
        <w:rPr>
          <w:i w:val="0"/>
        </w:rPr>
        <w:t>XB-7 is a humanized IgG1 monoclonal antibody that neutralizes a pro-inflammatory cytokine. It is in development for adults with moderate-to-severe autoimmune disease and is given by subcutaneous (SC) injection, 150 mg every four weeks, as a solution in a single-use prefilled syringe. No other formulation, route or indication is in development.</w:t>
      </w:r>
    </w:p>
    <w:p>
      <w:commentRangeStart w:id="10"/>
      <w:r>
        <w:rPr>
          <w:i w:val="0"/>
        </w:rPr>
        <w:t>This DSUR covers all clinical trials of XB-7 sponsored by Calder Ridge Therapeutics: XB-201, a Phase 2 trial whose clinical study report was finalized during the period; XB-301, an ongoing blinded Phase 3 trial; and XB-302, an ongoing open-label extension of both (Section 5). The sponsor prepares a single DSUR for XB-7. There is no co-development partner, XB-7 is not developed in combination with another investigational drug, and no investigator-initiated trials use drug supplied by the sponsor. No data are excluded from this report.</w:t>
      </w:r>
      <w:commentRangeEnd w:id="10"/>
      <w:r>
        <w:rPr>
          <w:rStyle w:val="CommentReference"/>
        </w:rPr>
        <w:commentReference w:id="10"/>
      </w:r>
    </w:p>
    <w:p>
      <w:commentRangeStart w:id="11"/>
      <w:r>
        <w:rPr>
          <w:i w:val="0"/>
        </w:rPr>
        <w:t>XB-301 remains blinded. Exposure in XB-301 is estimated from its randomization ratio (Section 6), and no data were unblinded to prepare this report. Treatment assignment is presented only for the two cases of sepsis that were unblinded for expedited reporting; because of these, the report carries an unblinding caution on its title page and its distribution within the sponsor is controlled.</w:t>
      </w:r>
      <w:commentRangeEnd w:id="11"/>
      <w:r>
        <w:rPr>
          <w:rStyle w:val="CommentReference"/>
        </w:rPr>
        <w:commentReference w:id="11"/>
      </w:r>
    </w:p>
    <w:p>
      <w:r>
        <w:rPr>
          <w:i w:val="0"/>
        </w:rPr>
        <w:t>The scope of the program did not change during the period. The tables in this report are drawn from the sponsor's safety database, extracted on 3 September 2026 with data to the DLP and reconciled with the clinical trial database before the tables were locked (Section 7).</w:t>
      </w:r>
    </w:p>
    <w:p>
      <w:pPr>
        <w:pStyle w:val="Heading1"/>
      </w:pPr>
      <w:commentRangeStart w:id="12"/>
      <w:bookmarkStart w:id="1003" w:name="_Toc0004"/>
      <w:r>
        <w:t>2. Worldwide Marketing Approval Status</w:t>
      </w:r>
      <w:bookmarkEnd w:id="1003"/>
      <w:commentRangeEnd w:id="12"/>
      <w:r>
        <w:rPr>
          <w:rStyle w:val="CommentReference"/>
        </w:rPr>
        <w:commentReference w:id="12"/>
      </w:r>
    </w:p>
    <w:p>
      <w:r>
        <w:rPr>
          <w:i w:val="0"/>
        </w:rPr>
        <w:t>XB-7 has not received marketing approval in any country as of the data lock point.</w:t>
      </w:r>
    </w:p>
    <w:p>
      <w:pPr>
        <w:pStyle w:val="Heading1"/>
      </w:pPr>
      <w:commentRangeStart w:id="13"/>
      <w:bookmarkStart w:id="1004" w:name="_Toc0005"/>
      <w:r>
        <w:t>3. Actions Taken in the Reporting Period for Safety Reasons</w:t>
      </w:r>
      <w:bookmarkEnd w:id="1004"/>
      <w:commentRangeEnd w:id="13"/>
      <w:r>
        <w:rPr>
          <w:rStyle w:val="CommentReference"/>
        </w:rPr>
        <w:commentReference w:id="13"/>
      </w:r>
    </w:p>
    <w:p>
      <w:commentRangeStart w:id="14"/>
      <w:r>
        <w:rPr>
          <w:i w:val="0"/>
        </w:rPr>
        <w:t>In March 2026, the informed consent forms for XB-301 and XB-302 were revised to describe sepsis as a possible serious infection associated with XB-7, following the IB update described in Section 4. Ethics committee approval was obtained at all sites by May 2026; enrolled subjects were reconsented at their next visit.</w:t>
      </w:r>
      <w:commentRangeEnd w:id="14"/>
      <w:r>
        <w:rPr>
          <w:rStyle w:val="CommentReference"/>
        </w:rPr>
        <w:commentReference w:id="14"/>
      </w:r>
    </w:p>
    <w:p>
      <w:pPr>
        <w:keepNext/>
        <w:spacing w:before="120" w:after="60"/>
      </w:pPr>
      <w:r>
        <w:rPr>
          <w:b/>
          <w:color w:val="1F3864"/>
          <w:sz w:val="19"/>
        </w:rPr>
        <w:t>Table 3-1. Actions taken for safety reasons during the reporting period</w:t>
      </w:r>
    </w:p>
    <w:tbl>
      <w:tblPr>
        <w:tblStyle w:val="TableGrid"/>
        <w:tblW w:type="dxa" w:w="9359"/>
        <w:jc w:val="center"/>
        <w:tblLayout w:type="fixed"/>
        <w:tblCellMar>
          <w:top w:w="30" w:type="dxa"/>
          <w:left w:w="70" w:type="dxa"/>
          <w:bottom w:w="30" w:type="dxa"/>
          <w:right w:w="70" w:type="dxa"/>
        </w:tblCellMar>
        <w:tblLook w:firstColumn="1" w:firstRow="1" w:lastColumn="0" w:lastRow="0" w:noHBand="0" w:noVBand="1" w:val="04A0"/>
      </w:tblPr>
      <w:tblGrid>
        <w:gridCol w:w="1080"/>
        <w:gridCol w:w="2736"/>
        <w:gridCol w:w="1655"/>
        <w:gridCol w:w="1512"/>
        <w:gridCol w:w="1152"/>
        <w:gridCol w:w="1224"/>
      </w:tblGrid>
      <w:tr>
        <w:trPr>
          <w:cantSplit w:val="true"/>
          <w:tblHeader w:val="true"/>
        </w:trPr>
        <w:tc>
          <w:tcPr>
            <w:tcW w:type="dxa" w:w="1080"/>
            <w:shd w:val="clear" w:color="auto" w:fill="E8EDF4"/>
          </w:tcPr>
          <w:p>
            <w:pPr>
              <w:spacing w:after="0" w:line="240" w:lineRule="auto"/>
            </w:pPr>
            <w:r/>
            <w:r>
              <w:rPr>
                <w:b/>
                <w:sz w:val="17"/>
              </w:rPr>
              <w:t>Date</w:t>
            </w:r>
          </w:p>
        </w:tc>
        <w:tc>
          <w:tcPr>
            <w:tcW w:type="dxa" w:w="2736"/>
            <w:shd w:val="clear" w:color="auto" w:fill="E8EDF4"/>
          </w:tcPr>
          <w:p>
            <w:pPr>
              <w:spacing w:after="0" w:line="240" w:lineRule="auto"/>
            </w:pPr>
            <w:r/>
            <w:r>
              <w:rPr>
                <w:b/>
                <w:sz w:val="17"/>
              </w:rPr>
              <w:t>Action</w:t>
            </w:r>
          </w:p>
        </w:tc>
        <w:tc>
          <w:tcPr>
            <w:tcW w:type="dxa" w:w="1656"/>
            <w:shd w:val="clear" w:color="auto" w:fill="E8EDF4"/>
          </w:tcPr>
          <w:p>
            <w:pPr>
              <w:spacing w:after="0" w:line="240" w:lineRule="auto"/>
            </w:pPr>
            <w:r/>
            <w:r>
              <w:rPr>
                <w:b/>
                <w:sz w:val="17"/>
              </w:rPr>
              <w:t>Decided by</w:t>
            </w:r>
          </w:p>
        </w:tc>
        <w:tc>
          <w:tcPr>
            <w:tcW w:type="dxa" w:w="1512"/>
            <w:shd w:val="clear" w:color="auto" w:fill="E8EDF4"/>
          </w:tcPr>
          <w:p>
            <w:pPr>
              <w:spacing w:after="0" w:line="240" w:lineRule="auto"/>
            </w:pPr>
            <w:r/>
            <w:r>
              <w:rPr>
                <w:b/>
                <w:sz w:val="17"/>
              </w:rPr>
              <w:t>Reason</w:t>
            </w:r>
          </w:p>
        </w:tc>
        <w:tc>
          <w:tcPr>
            <w:tcW w:type="dxa" w:w="1152"/>
            <w:shd w:val="clear" w:color="auto" w:fill="E8EDF4"/>
          </w:tcPr>
          <w:p>
            <w:pPr>
              <w:spacing w:after="0" w:line="240" w:lineRule="auto"/>
            </w:pPr>
            <w:r/>
            <w:r>
              <w:rPr>
                <w:b/>
                <w:sz w:val="17"/>
              </w:rPr>
              <w:t>Trials affected</w:t>
            </w:r>
          </w:p>
        </w:tc>
        <w:tc>
          <w:tcPr>
            <w:tcW w:type="dxa" w:w="1224"/>
            <w:shd w:val="clear" w:color="auto" w:fill="E8EDF4"/>
          </w:tcPr>
          <w:p>
            <w:pPr>
              <w:spacing w:after="0" w:line="240" w:lineRule="auto"/>
            </w:pPr>
            <w:r/>
            <w:r>
              <w:rPr>
                <w:b/>
                <w:sz w:val="17"/>
              </w:rPr>
              <w:t>Status</w:t>
            </w:r>
          </w:p>
        </w:tc>
      </w:tr>
      <w:tr>
        <w:trPr>
          <w:cantSplit w:val="true"/>
        </w:trPr>
        <w:tc>
          <w:tcPr>
            <w:tcW w:type="dxa" w:w="1080"/>
          </w:tcPr>
          <w:p>
            <w:pPr>
              <w:spacing w:after="0" w:line="240" w:lineRule="auto"/>
            </w:pPr>
            <w:r/>
            <w:r>
              <w:rPr>
                <w:sz w:val="17"/>
              </w:rPr>
              <w:t>March 2026</w:t>
            </w:r>
          </w:p>
        </w:tc>
        <w:tc>
          <w:tcPr>
            <w:tcW w:type="dxa" w:w="2736"/>
          </w:tcPr>
          <w:p>
            <w:pPr>
              <w:spacing w:after="0" w:line="240" w:lineRule="auto"/>
            </w:pPr>
            <w:r/>
            <w:r>
              <w:rPr>
                <w:sz w:val="17"/>
              </w:rPr>
              <w:t>Informed consent forms revised to describe sepsis as a possible serious infection associated with XB-7; enrolled subjects reconsented at their next visit</w:t>
            </w:r>
          </w:p>
        </w:tc>
        <w:tc>
          <w:tcPr>
            <w:tcW w:type="dxa" w:w="1656"/>
          </w:tcPr>
          <w:p>
            <w:pPr>
              <w:spacing w:after="0" w:line="240" w:lineRule="auto"/>
            </w:pPr>
            <w:r/>
            <w:r>
              <w:rPr>
                <w:sz w:val="17"/>
              </w:rPr>
              <w:t>Sponsor; approved by ethics committees at all sites by May 2026</w:t>
            </w:r>
          </w:p>
        </w:tc>
        <w:tc>
          <w:tcPr>
            <w:tcW w:type="dxa" w:w="1512"/>
          </w:tcPr>
          <w:p>
            <w:pPr>
              <w:spacing w:after="0" w:line="240" w:lineRule="auto"/>
            </w:pPr>
            <w:r/>
            <w:r>
              <w:rPr>
                <w:sz w:val="17"/>
              </w:rPr>
              <w:t>IB Edition 6 added sepsis (Section 4)</w:t>
            </w:r>
          </w:p>
        </w:tc>
        <w:tc>
          <w:tcPr>
            <w:tcW w:type="dxa" w:w="1152"/>
          </w:tcPr>
          <w:p>
            <w:pPr>
              <w:spacing w:after="0" w:line="240" w:lineRule="auto"/>
            </w:pPr>
            <w:r/>
            <w:r>
              <w:rPr>
                <w:sz w:val="17"/>
              </w:rPr>
              <w:t>XB-301, XB-302</w:t>
            </w:r>
          </w:p>
        </w:tc>
        <w:tc>
          <w:tcPr>
            <w:tcW w:type="dxa" w:w="1224"/>
          </w:tcPr>
          <w:p>
            <w:pPr>
              <w:spacing w:after="0" w:line="240" w:lineRule="auto"/>
            </w:pPr>
            <w:r/>
            <w:r>
              <w:rPr>
                <w:sz w:val="17"/>
              </w:rPr>
              <w:t>Completed</w:t>
            </w:r>
          </w:p>
        </w:tc>
      </w:tr>
      <w:tr>
        <w:trPr>
          <w:cantSplit w:val="true"/>
        </w:trPr>
        <w:tc>
          <w:tcPr>
            <w:tcW w:type="dxa" w:w="1080"/>
          </w:tcPr>
          <w:p>
            <w:pPr>
              <w:spacing w:after="0" w:line="240" w:lineRule="auto"/>
            </w:pPr>
            <w:r/>
            <w:r>
              <w:rPr>
                <w:sz w:val="17"/>
              </w:rPr>
              <w:t>March 2026</w:t>
            </w:r>
          </w:p>
        </w:tc>
        <w:tc>
          <w:tcPr>
            <w:tcW w:type="dxa" w:w="2736"/>
          </w:tcPr>
          <w:p>
            <w:pPr>
              <w:spacing w:after="0" w:line="240" w:lineRule="auto"/>
            </w:pPr>
            <w:r/>
            <w:r>
              <w:rPr>
                <w:sz w:val="17"/>
              </w:rPr>
              <w:t>Investigator letter with IB Edition 6, summarizing the sepsis update and the two cases</w:t>
            </w:r>
          </w:p>
        </w:tc>
        <w:tc>
          <w:tcPr>
            <w:tcW w:type="dxa" w:w="1656"/>
          </w:tcPr>
          <w:p>
            <w:pPr>
              <w:spacing w:after="0" w:line="240" w:lineRule="auto"/>
            </w:pPr>
            <w:r/>
            <w:r>
              <w:rPr>
                <w:sz w:val="17"/>
              </w:rPr>
              <w:t>Sponsor</w:t>
            </w:r>
          </w:p>
        </w:tc>
        <w:tc>
          <w:tcPr>
            <w:tcW w:type="dxa" w:w="1512"/>
          </w:tcPr>
          <w:p>
            <w:pPr>
              <w:spacing w:after="0" w:line="240" w:lineRule="auto"/>
            </w:pPr>
            <w:r/>
            <w:r>
              <w:rPr>
                <w:sz w:val="17"/>
              </w:rPr>
              <w:t>As above</w:t>
            </w:r>
          </w:p>
        </w:tc>
        <w:tc>
          <w:tcPr>
            <w:tcW w:type="dxa" w:w="1152"/>
          </w:tcPr>
          <w:p>
            <w:pPr>
              <w:spacing w:after="0" w:line="240" w:lineRule="auto"/>
            </w:pPr>
            <w:r/>
            <w:r>
              <w:rPr>
                <w:sz w:val="17"/>
              </w:rPr>
              <w:t>XB-301, XB-302</w:t>
            </w:r>
          </w:p>
        </w:tc>
        <w:tc>
          <w:tcPr>
            <w:tcW w:type="dxa" w:w="1224"/>
          </w:tcPr>
          <w:p>
            <w:pPr>
              <w:spacing w:after="0" w:line="240" w:lineRule="auto"/>
            </w:pPr>
            <w:r/>
            <w:r>
              <w:rPr>
                <w:sz w:val="17"/>
              </w:rPr>
              <w:t>Completed</w:t>
            </w:r>
          </w:p>
        </w:tc>
      </w:tr>
    </w:tbl>
    <w:p>
      <w:pPr>
        <w:spacing w:after="40"/>
      </w:pPr>
    </w:p>
    <w:p>
      <w:commentRangeStart w:id="15"/>
      <w:r>
        <w:rPr>
          <w:i w:val="0"/>
        </w:rPr>
        <w:t>Investigators and ethics committees received periodic line listings of SUSARs throughout the period, as required in each region; the two SUSARs of sepsis were also communicated individually. The Data Monitoring Committee (DMC) for XB-301 reviewed unblinded safety data in December 2025 and June 2026 and recommended that the trial continue without modification; these reviews required no action and are described in Section 8.2. The DMC recommendation of 22 September 2026, received after the DLP, is reported in Section 17.</w:t>
      </w:r>
      <w:commentRangeEnd w:id="15"/>
      <w:r>
        <w:rPr>
          <w:rStyle w:val="CommentReference"/>
        </w:rPr>
        <w:commentReference w:id="15"/>
      </w:r>
    </w:p>
    <w:p>
      <w:commentRangeStart w:id="16"/>
      <w:r>
        <w:rPr>
          <w:i w:val="0"/>
        </w:rPr>
        <w:t>No action reported in an earlier DSUR remained open at the start of the period. No regulatory authority made a new request during the period that limits the development of XB-7. The cumulative table of important regulatory requests, including the one request that remains in effect, is provided in Appendix 2.</w:t>
      </w:r>
      <w:commentRangeEnd w:id="16"/>
      <w:r>
        <w:rPr>
          <w:rStyle w:val="CommentReference"/>
        </w:rPr>
        <w:commentReference w:id="16"/>
      </w:r>
    </w:p>
    <w:p>
      <w:pPr>
        <w:pStyle w:val="Heading1"/>
      </w:pPr>
      <w:commentRangeStart w:id="17"/>
      <w:bookmarkStart w:id="1005" w:name="_Toc0006"/>
      <w:r>
        <w:t>4. Changes to Reference Safety Information</w:t>
      </w:r>
      <w:bookmarkEnd w:id="1005"/>
      <w:commentRangeEnd w:id="17"/>
      <w:r>
        <w:rPr>
          <w:rStyle w:val="CommentReference"/>
        </w:rPr>
        <w:commentReference w:id="17"/>
      </w:r>
    </w:p>
    <w:p>
      <w:commentRangeStart w:id="18"/>
      <w:r>
        <w:rPr>
          <w:i w:val="0"/>
        </w:rPr>
        <w:t>IB Edition 6 (approved March 2026) revised Section 6.4, Serious Infections, to include sepsis as an expected serious adverse reaction, based on three cases in the XB-7 program (two during this reporting period). The data supporting this change are described in Section 8.2 and evaluated in Section 18.1. Edition 6 has been submitted to the concerned authorities and is not attached.</w:t>
      </w:r>
      <w:commentRangeEnd w:id="18"/>
      <w:r>
        <w:rPr>
          <w:rStyle w:val="CommentReference"/>
        </w:rPr>
        <w:commentReference w:id="18"/>
      </w:r>
    </w:p>
    <w:p>
      <w:commentRangeStart w:id="19"/>
      <w:r>
        <w:rPr>
          <w:i w:val="0"/>
        </w:rPr>
        <w:t>No other significant safety-related change was made to the Investigator's Brochure during the period. Edition 6 also added case counts, a denominator and an explicit statement on fatal and life-threatening outcomes to the table of expected serious adverse reactions (Regional Appendix R5).</w:t>
      </w:r>
      <w:commentRangeEnd w:id="19"/>
      <w:r>
        <w:rPr>
          <w:rStyle w:val="CommentReference"/>
        </w:rPr>
        <w:commentReference w:id="19"/>
      </w:r>
    </w:p>
    <w:p>
      <w:pPr>
        <w:pStyle w:val="Heading1"/>
      </w:pPr>
      <w:commentRangeStart w:id="20"/>
      <w:bookmarkStart w:id="1006" w:name="_Toc0007"/>
      <w:r>
        <w:t>5. Inventory of Clinical Trials Ongoing and Completed during the Reporting Period</w:t>
      </w:r>
      <w:bookmarkEnd w:id="1006"/>
      <w:commentRangeEnd w:id="20"/>
      <w:r>
        <w:rPr>
          <w:rStyle w:val="CommentReference"/>
        </w:rPr>
        <w:commentReference w:id="20"/>
      </w:r>
    </w:p>
    <w:p>
      <w:r>
        <w:rPr>
          <w:i w:val="0"/>
        </w:rPr>
        <w:t>Three clinical trials of XB-7 were ongoing or completed during the reporting period. Details of each trial are given in the status list in Appendix 3.</w:t>
      </w:r>
    </w:p>
    <w:p>
      <w:pPr>
        <w:pStyle w:val="ListBullet"/>
        <w:spacing w:after="60"/>
      </w:pPr>
      <w:commentRangeStart w:id="21"/>
      <w:r>
        <w:rPr>
          <w:b/>
        </w:rPr>
        <w:t xml:space="preserve">XB-201 </w:t>
      </w:r>
      <w:r>
        <w:t>(Phase 2, randomized 2:1, placebo-controlled; 270 subjects) completed dosing before the period. Its clinical study report was finalized in February 2026, so it is reported as completed in this DSUR (Section 8.1).</w:t>
      </w:r>
      <w:commentRangeEnd w:id="21"/>
      <w:r>
        <w:rPr>
          <w:rStyle w:val="CommentReference"/>
        </w:rPr>
        <w:commentReference w:id="21"/>
      </w:r>
    </w:p>
    <w:p>
      <w:pPr>
        <w:pStyle w:val="ListBullet"/>
        <w:spacing w:after="60"/>
      </w:pPr>
      <w:r>
        <w:rPr>
          <w:b/>
        </w:rPr>
        <w:t xml:space="preserve">XB-301 </w:t>
      </w:r>
      <w:r>
        <w:t>(Phase 3, randomized 2:1, double-blind, placebo-controlled) is ongoing and blinded; 300 of 600 planned subjects had been randomized at the DLP.</w:t>
      </w:r>
    </w:p>
    <w:p>
      <w:pPr>
        <w:pStyle w:val="ListBullet"/>
        <w:spacing w:after="60"/>
      </w:pPr>
      <w:r>
        <w:rPr>
          <w:b/>
        </w:rPr>
        <w:t xml:space="preserve">XB-302 </w:t>
      </w:r>
      <w:r>
        <w:t>(open-label extension) is ongoing; 142 subjects who completed XB-201 or XB-301 had enrolled at the DLP. Its subjects are not additional people: they are counted in their parent trials (Section 6).</w:t>
      </w:r>
    </w:p>
    <w:p>
      <w:r>
        <w:rPr>
          <w:i w:val="0"/>
        </w:rPr>
        <w:t>No trial was started, suspended or terminated during the period.</w:t>
      </w:r>
    </w:p>
    <w:p>
      <w:pPr>
        <w:pStyle w:val="Heading1"/>
      </w:pPr>
      <w:commentRangeStart w:id="22"/>
      <w:bookmarkStart w:id="1007" w:name="_Toc0008"/>
      <w:r>
        <w:t>6. Estimated Cumulative Exposure</w:t>
      </w:r>
      <w:bookmarkEnd w:id="1007"/>
      <w:commentRangeEnd w:id="22"/>
      <w:r>
        <w:rPr>
          <w:rStyle w:val="CommentReference"/>
        </w:rPr>
        <w:commentReference w:id="22"/>
      </w:r>
    </w:p>
    <w:p>
      <w:pPr>
        <w:pStyle w:val="Heading2"/>
      </w:pPr>
      <w:bookmarkStart w:id="1008" w:name="_Toc0009"/>
      <w:r>
        <w:t>6.1 Cumulative Subject Exposure in the Development Program</w:t>
      </w:r>
      <w:bookmarkEnd w:id="1008"/>
    </w:p>
    <w:p>
      <w:commentRangeStart w:id="23"/>
      <w:r>
        <w:rPr>
          <w:i w:val="0"/>
        </w:rPr>
        <w:t>Since the DIBD, approximately 380 subjects have received XB-7 and 190 placebo in the sponsor's trials, with exposure in the ongoing blinded trial XB-301 estimated from its 2:1 randomization ratio. Interval exposure across all arms was approximately 400 subject-years.</w:t>
      </w:r>
      <w:commentRangeEnd w:id="23"/>
      <w:r>
        <w:rPr>
          <w:rStyle w:val="CommentReference"/>
        </w:rPr>
        <w:commentReference w:id="23"/>
      </w:r>
    </w:p>
    <w:p>
      <w:pPr>
        <w:keepNext/>
        <w:spacing w:before="120" w:after="60"/>
      </w:pPr>
      <w:commentRangeStart w:id="24"/>
      <w:r>
        <w:rPr>
          <w:b/>
          <w:color w:val="1F3864"/>
          <w:sz w:val="19"/>
        </w:rPr>
        <w:t>Table 6-1. Estimated cumulative subject exposure since the DIBD, by treatment</w:t>
      </w:r>
      <w:commentRangeEnd w:id="24"/>
      <w:r>
        <w:rPr>
          <w:rStyle w:val="CommentReference"/>
        </w:rPr>
        <w:commentReference w:id="24"/>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5184"/>
        <w:gridCol w:w="1368"/>
        <w:gridCol w:w="1368"/>
        <w:gridCol w:w="1440"/>
      </w:tblGrid>
      <w:tr>
        <w:trPr>
          <w:cantSplit w:val="true"/>
          <w:tblHeader w:val="true"/>
        </w:trPr>
        <w:tc>
          <w:tcPr>
            <w:tcW w:type="dxa" w:w="5184"/>
            <w:shd w:val="clear" w:color="auto" w:fill="E8EDF4"/>
          </w:tcPr>
          <w:p>
            <w:pPr>
              <w:spacing w:after="0" w:line="240" w:lineRule="auto"/>
            </w:pPr>
            <w:r/>
            <w:r>
              <w:rPr>
                <w:b/>
                <w:sz w:val="18"/>
              </w:rPr>
              <w:t>Source</w:t>
            </w:r>
          </w:p>
        </w:tc>
        <w:tc>
          <w:tcPr>
            <w:tcW w:type="dxa" w:w="1368"/>
            <w:shd w:val="clear" w:color="auto" w:fill="E8EDF4"/>
          </w:tcPr>
          <w:p>
            <w:pPr>
              <w:spacing w:after="0" w:line="240" w:lineRule="auto"/>
            </w:pPr>
            <w:r/>
            <w:r>
              <w:rPr>
                <w:b/>
                <w:sz w:val="18"/>
              </w:rPr>
              <w:t>XB-7</w:t>
            </w:r>
          </w:p>
        </w:tc>
        <w:tc>
          <w:tcPr>
            <w:tcW w:type="dxa" w:w="1368"/>
            <w:shd w:val="clear" w:color="auto" w:fill="E8EDF4"/>
          </w:tcPr>
          <w:p>
            <w:pPr>
              <w:spacing w:after="0" w:line="240" w:lineRule="auto"/>
            </w:pPr>
            <w:r/>
            <w:r>
              <w:rPr>
                <w:b/>
                <w:sz w:val="18"/>
              </w:rPr>
              <w:t>Placebo</w:t>
            </w:r>
          </w:p>
        </w:tc>
        <w:tc>
          <w:tcPr>
            <w:tcW w:type="dxa" w:w="1440"/>
            <w:shd w:val="clear" w:color="auto" w:fill="E8EDF4"/>
          </w:tcPr>
          <w:p>
            <w:pPr>
              <w:spacing w:after="0" w:line="240" w:lineRule="auto"/>
            </w:pPr>
            <w:r/>
            <w:r>
              <w:rPr>
                <w:b/>
                <w:sz w:val="18"/>
              </w:rPr>
              <w:t>Total</w:t>
            </w:r>
          </w:p>
        </w:tc>
      </w:tr>
      <w:tr>
        <w:trPr>
          <w:cantSplit w:val="true"/>
        </w:trPr>
        <w:tc>
          <w:tcPr>
            <w:tcW w:type="dxa" w:w="5184"/>
          </w:tcPr>
          <w:p>
            <w:pPr>
              <w:spacing w:after="0" w:line="240" w:lineRule="auto"/>
            </w:pPr>
            <w:r/>
            <w:r>
              <w:rPr>
                <w:sz w:val="18"/>
              </w:rPr>
              <w:t>Completed trials (actual)</w:t>
            </w:r>
          </w:p>
        </w:tc>
        <w:tc>
          <w:tcPr>
            <w:tcW w:type="dxa" w:w="1368"/>
          </w:tcPr>
          <w:p>
            <w:pPr>
              <w:spacing w:after="0" w:line="240" w:lineRule="auto"/>
            </w:pPr>
            <w:r/>
            <w:r>
              <w:rPr>
                <w:sz w:val="18"/>
              </w:rPr>
              <w:t>180</w:t>
            </w:r>
          </w:p>
        </w:tc>
        <w:tc>
          <w:tcPr>
            <w:tcW w:type="dxa" w:w="1368"/>
          </w:tcPr>
          <w:p>
            <w:pPr>
              <w:spacing w:after="0" w:line="240" w:lineRule="auto"/>
            </w:pPr>
            <w:r/>
            <w:r>
              <w:rPr>
                <w:sz w:val="18"/>
              </w:rPr>
              <w:t>90</w:t>
            </w:r>
          </w:p>
        </w:tc>
        <w:tc>
          <w:tcPr>
            <w:tcW w:type="dxa" w:w="1440"/>
          </w:tcPr>
          <w:p>
            <w:pPr>
              <w:spacing w:after="0" w:line="240" w:lineRule="auto"/>
            </w:pPr>
            <w:r/>
            <w:r>
              <w:rPr>
                <w:sz w:val="18"/>
              </w:rPr>
              <w:t>270</w:t>
            </w:r>
          </w:p>
        </w:tc>
      </w:tr>
      <w:tr>
        <w:trPr>
          <w:cantSplit w:val="true"/>
        </w:trPr>
        <w:tc>
          <w:tcPr>
            <w:tcW w:type="dxa" w:w="5184"/>
          </w:tcPr>
          <w:p>
            <w:pPr>
              <w:spacing w:after="0" w:line="240" w:lineRule="auto"/>
            </w:pPr>
            <w:r/>
            <w:r>
              <w:rPr>
                <w:sz w:val="18"/>
              </w:rPr>
              <w:t>Ongoing blinded trial (estimated from 2:1 randomization)</w:t>
            </w:r>
          </w:p>
        </w:tc>
        <w:tc>
          <w:tcPr>
            <w:tcW w:type="dxa" w:w="1368"/>
          </w:tcPr>
          <w:p>
            <w:pPr>
              <w:spacing w:after="0" w:line="240" w:lineRule="auto"/>
            </w:pPr>
            <w:r/>
            <w:r>
              <w:rPr>
                <w:sz w:val="18"/>
              </w:rPr>
              <w:t>200</w:t>
            </w:r>
          </w:p>
        </w:tc>
        <w:tc>
          <w:tcPr>
            <w:tcW w:type="dxa" w:w="1368"/>
          </w:tcPr>
          <w:p>
            <w:pPr>
              <w:spacing w:after="0" w:line="240" w:lineRule="auto"/>
            </w:pPr>
            <w:r/>
            <w:r>
              <w:rPr>
                <w:sz w:val="18"/>
              </w:rPr>
              <w:t>100</w:t>
            </w:r>
          </w:p>
        </w:tc>
        <w:tc>
          <w:tcPr>
            <w:tcW w:type="dxa" w:w="1440"/>
          </w:tcPr>
          <w:p>
            <w:pPr>
              <w:spacing w:after="0" w:line="240" w:lineRule="auto"/>
            </w:pPr>
            <w:r/>
            <w:r>
              <w:rPr>
                <w:sz w:val="18"/>
              </w:rPr>
              <w:t>300</w:t>
            </w:r>
          </w:p>
        </w:tc>
      </w:tr>
      <w:tr>
        <w:trPr>
          <w:cantSplit w:val="true"/>
        </w:trPr>
        <w:tc>
          <w:tcPr>
            <w:tcW w:type="dxa" w:w="5184"/>
          </w:tcPr>
          <w:p>
            <w:pPr>
              <w:spacing w:after="0" w:line="240" w:lineRule="auto"/>
            </w:pPr>
            <w:r/>
            <w:r>
              <w:rPr>
                <w:b/>
                <w:sz w:val="18"/>
              </w:rPr>
              <w:t>Cumulative, unique subjects</w:t>
            </w:r>
          </w:p>
        </w:tc>
        <w:tc>
          <w:tcPr>
            <w:tcW w:type="dxa" w:w="1368"/>
          </w:tcPr>
          <w:p>
            <w:pPr>
              <w:spacing w:after="0" w:line="240" w:lineRule="auto"/>
            </w:pPr>
            <w:r/>
            <w:r>
              <w:rPr>
                <w:b/>
                <w:sz w:val="18"/>
              </w:rPr>
              <w:t>380</w:t>
            </w:r>
          </w:p>
        </w:tc>
        <w:tc>
          <w:tcPr>
            <w:tcW w:type="dxa" w:w="1368"/>
          </w:tcPr>
          <w:p>
            <w:pPr>
              <w:spacing w:after="0" w:line="240" w:lineRule="auto"/>
            </w:pPr>
            <w:r/>
            <w:r>
              <w:rPr>
                <w:b/>
                <w:sz w:val="18"/>
              </w:rPr>
              <w:t>190</w:t>
            </w:r>
          </w:p>
        </w:tc>
        <w:tc>
          <w:tcPr>
            <w:tcW w:type="dxa" w:w="1440"/>
          </w:tcPr>
          <w:p>
            <w:pPr>
              <w:spacing w:after="0" w:line="240" w:lineRule="auto"/>
            </w:pPr>
            <w:r/>
            <w:r>
              <w:rPr>
                <w:b/>
                <w:sz w:val="18"/>
              </w:rPr>
              <w:t>570</w:t>
            </w:r>
          </w:p>
        </w:tc>
      </w:tr>
      <w:tr>
        <w:trPr>
          <w:cantSplit w:val="true"/>
        </w:trPr>
        <w:tc>
          <w:tcPr>
            <w:tcW w:type="dxa" w:w="5184"/>
          </w:tcPr>
          <w:p>
            <w:pPr>
              <w:spacing w:after="0" w:line="240" w:lineRule="auto"/>
            </w:pPr>
            <w:r/>
            <w:r>
              <w:rPr>
                <w:sz w:val="18"/>
              </w:rPr>
              <w:t>Open-label extension (subjects rolled over; not additional)</w:t>
            </w:r>
          </w:p>
        </w:tc>
        <w:tc>
          <w:tcPr>
            <w:tcW w:type="dxa" w:w="1368"/>
          </w:tcPr>
          <w:p>
            <w:pPr>
              <w:spacing w:after="0" w:line="240" w:lineRule="auto"/>
            </w:pPr>
            <w:r/>
            <w:r>
              <w:rPr>
                <w:sz w:val="18"/>
              </w:rPr>
              <w:t>142</w:t>
            </w:r>
          </w:p>
        </w:tc>
        <w:tc>
          <w:tcPr>
            <w:tcW w:type="dxa" w:w="1368"/>
          </w:tcPr>
          <w:p>
            <w:pPr>
              <w:spacing w:after="0" w:line="240" w:lineRule="auto"/>
            </w:pPr>
            <w:r/>
            <w:r>
              <w:rPr>
                <w:sz w:val="18"/>
              </w:rPr>
              <w:t>—</w:t>
            </w:r>
          </w:p>
        </w:tc>
        <w:tc>
          <w:tcPr>
            <w:tcW w:type="dxa" w:w="1440"/>
          </w:tcPr>
          <w:p>
            <w:pPr>
              <w:spacing w:after="0" w:line="240" w:lineRule="auto"/>
            </w:pPr>
            <w:r/>
            <w:r>
              <w:rPr>
                <w:sz w:val="18"/>
              </w:rPr>
              <w:t>—</w:t>
            </w:r>
          </w:p>
        </w:tc>
      </w:tr>
    </w:tbl>
    <w:p>
      <w:pPr>
        <w:spacing w:after="40"/>
      </w:pPr>
    </w:p>
    <w:p>
      <w:commentRangeStart w:id="25"/>
      <w:r>
        <w:rPr>
          <w:i w:val="0"/>
        </w:rPr>
        <w:t>Cumulative exposure is the actual number of subjects treated in completed trials plus, for ongoing blinded trial XB-301, an estimate derived by applying the 2:1 randomization ratio to the 300 subjects randomized as of the data lock point. No data were unblinded for this report. Subjects in extension study XB-302 are counted in their parent trials. The estimate assumes the achieved allocation matches the planned ratio; with permuted blocks, the difference is expected to be small. Exposure time is presented in Table 6-2.</w:t>
      </w:r>
      <w:commentRangeEnd w:id="25"/>
      <w:r>
        <w:rPr>
          <w:rStyle w:val="CommentReference"/>
        </w:rPr>
        <w:commentReference w:id="25"/>
      </w:r>
    </w:p>
    <w:p>
      <w:pPr>
        <w:keepNext/>
        <w:spacing w:before="120" w:after="60"/>
      </w:pPr>
      <w:commentRangeStart w:id="26"/>
      <w:r>
        <w:rPr>
          <w:b/>
          <w:color w:val="1F3864"/>
          <w:sz w:val="19"/>
        </w:rPr>
        <w:t>Table 6-2. Exposure in subject-years, split as the cumulative SAE tabulation (Appendix 6)</w:t>
      </w:r>
      <w:commentRangeEnd w:id="26"/>
      <w:r>
        <w:rPr>
          <w:rStyle w:val="CommentReference"/>
        </w:rPr>
        <w:commentReference w:id="26"/>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4752"/>
        <w:gridCol w:w="2304"/>
        <w:gridCol w:w="2304"/>
      </w:tblGrid>
      <w:tr>
        <w:trPr>
          <w:cantSplit w:val="true"/>
          <w:tblHeader w:val="true"/>
        </w:trPr>
        <w:tc>
          <w:tcPr>
            <w:tcW w:type="dxa" w:w="4752"/>
            <w:shd w:val="clear" w:color="auto" w:fill="E8EDF4"/>
          </w:tcPr>
          <w:p>
            <w:pPr>
              <w:spacing w:after="0" w:line="240" w:lineRule="auto"/>
            </w:pPr>
            <w:r/>
            <w:r>
              <w:rPr>
                <w:b/>
                <w:sz w:val="18"/>
              </w:rPr>
              <w:t>Trial and arm</w:t>
            </w:r>
          </w:p>
        </w:tc>
        <w:tc>
          <w:tcPr>
            <w:tcW w:type="dxa" w:w="2304"/>
            <w:shd w:val="clear" w:color="auto" w:fill="E8EDF4"/>
          </w:tcPr>
          <w:p>
            <w:pPr>
              <w:spacing w:after="0" w:line="240" w:lineRule="auto"/>
            </w:pPr>
            <w:r/>
            <w:r>
              <w:rPr>
                <w:b/>
                <w:sz w:val="18"/>
              </w:rPr>
              <w:t>Interval (2 Sep 2025 to 1 Sep 2026)</w:t>
            </w:r>
          </w:p>
        </w:tc>
        <w:tc>
          <w:tcPr>
            <w:tcW w:type="dxa" w:w="2304"/>
            <w:shd w:val="clear" w:color="auto" w:fill="E8EDF4"/>
          </w:tcPr>
          <w:p>
            <w:pPr>
              <w:spacing w:after="0" w:line="240" w:lineRule="auto"/>
            </w:pPr>
            <w:r/>
            <w:r>
              <w:rPr>
                <w:b/>
                <w:sz w:val="18"/>
              </w:rPr>
              <w:t>Cumulative since the DIBD</w:t>
            </w:r>
          </w:p>
        </w:tc>
      </w:tr>
      <w:tr>
        <w:trPr>
          <w:cantSplit w:val="true"/>
        </w:trPr>
        <w:tc>
          <w:tcPr>
            <w:tcW w:type="dxa" w:w="4752"/>
          </w:tcPr>
          <w:p>
            <w:pPr>
              <w:spacing w:after="0" w:line="240" w:lineRule="auto"/>
            </w:pPr>
            <w:r/>
            <w:r>
              <w:rPr>
                <w:sz w:val="18"/>
              </w:rPr>
              <w:t>XB-7, XB-201 (completed)</w:t>
            </w:r>
          </w:p>
        </w:tc>
        <w:tc>
          <w:tcPr>
            <w:tcW w:type="dxa" w:w="2304"/>
          </w:tcPr>
          <w:p>
            <w:pPr>
              <w:spacing w:after="0" w:line="240" w:lineRule="auto"/>
            </w:pPr>
            <w:r/>
            <w:r>
              <w:rPr>
                <w:sz w:val="18"/>
              </w:rPr>
              <w:t>—</w:t>
            </w:r>
          </w:p>
        </w:tc>
        <w:tc>
          <w:tcPr>
            <w:tcW w:type="dxa" w:w="2304"/>
          </w:tcPr>
          <w:p>
            <w:pPr>
              <w:spacing w:after="0" w:line="240" w:lineRule="auto"/>
            </w:pPr>
            <w:r/>
            <w:r>
              <w:rPr>
                <w:sz w:val="18"/>
              </w:rPr>
              <w:t>194</w:t>
            </w:r>
          </w:p>
        </w:tc>
      </w:tr>
      <w:tr>
        <w:trPr>
          <w:cantSplit w:val="true"/>
        </w:trPr>
        <w:tc>
          <w:tcPr>
            <w:tcW w:type="dxa" w:w="4752"/>
          </w:tcPr>
          <w:p>
            <w:pPr>
              <w:spacing w:after="0" w:line="240" w:lineRule="auto"/>
            </w:pPr>
            <w:r/>
            <w:r>
              <w:rPr>
                <w:sz w:val="18"/>
              </w:rPr>
              <w:t>Placebo, XB-201 (completed)</w:t>
            </w:r>
          </w:p>
        </w:tc>
        <w:tc>
          <w:tcPr>
            <w:tcW w:type="dxa" w:w="2304"/>
          </w:tcPr>
          <w:p>
            <w:pPr>
              <w:spacing w:after="0" w:line="240" w:lineRule="auto"/>
            </w:pPr>
            <w:r/>
            <w:r>
              <w:rPr>
                <w:sz w:val="18"/>
              </w:rPr>
              <w:t>—</w:t>
            </w:r>
          </w:p>
        </w:tc>
        <w:tc>
          <w:tcPr>
            <w:tcW w:type="dxa" w:w="2304"/>
          </w:tcPr>
          <w:p>
            <w:pPr>
              <w:spacing w:after="0" w:line="240" w:lineRule="auto"/>
            </w:pPr>
            <w:r/>
            <w:r>
              <w:rPr>
                <w:sz w:val="18"/>
              </w:rPr>
              <w:t>104</w:t>
            </w:r>
          </w:p>
        </w:tc>
      </w:tr>
      <w:tr>
        <w:trPr>
          <w:cantSplit w:val="true"/>
        </w:trPr>
        <w:tc>
          <w:tcPr>
            <w:tcW w:type="dxa" w:w="4752"/>
          </w:tcPr>
          <w:p>
            <w:pPr>
              <w:spacing w:after="0" w:line="240" w:lineRule="auto"/>
            </w:pPr>
            <w:r/>
            <w:r>
              <w:rPr>
                <w:sz w:val="18"/>
              </w:rPr>
              <w:t>Blinded, XB-301 (all arms; about two-thirds XB-7)</w:t>
            </w:r>
          </w:p>
        </w:tc>
        <w:tc>
          <w:tcPr>
            <w:tcW w:type="dxa" w:w="2304"/>
          </w:tcPr>
          <w:p>
            <w:pPr>
              <w:spacing w:after="0" w:line="240" w:lineRule="auto"/>
            </w:pPr>
            <w:r/>
            <w:r>
              <w:rPr>
                <w:sz w:val="18"/>
              </w:rPr>
              <w:t>about 260</w:t>
            </w:r>
          </w:p>
        </w:tc>
        <w:tc>
          <w:tcPr>
            <w:tcW w:type="dxa" w:w="2304"/>
          </w:tcPr>
          <w:p>
            <w:pPr>
              <w:spacing w:after="0" w:line="240" w:lineRule="auto"/>
            </w:pPr>
            <w:r/>
            <w:r>
              <w:rPr>
                <w:sz w:val="18"/>
              </w:rPr>
              <w:t>about 380</w:t>
            </w:r>
          </w:p>
        </w:tc>
      </w:tr>
      <w:tr>
        <w:trPr>
          <w:cantSplit w:val="true"/>
        </w:trPr>
        <w:tc>
          <w:tcPr>
            <w:tcW w:type="dxa" w:w="4752"/>
          </w:tcPr>
          <w:p>
            <w:pPr>
              <w:spacing w:after="0" w:line="240" w:lineRule="auto"/>
            </w:pPr>
            <w:r/>
            <w:r>
              <w:rPr>
                <w:sz w:val="18"/>
              </w:rPr>
              <w:t>XB-7, XB-302 (open-label extension)</w:t>
            </w:r>
          </w:p>
        </w:tc>
        <w:tc>
          <w:tcPr>
            <w:tcW w:type="dxa" w:w="2304"/>
          </w:tcPr>
          <w:p>
            <w:pPr>
              <w:spacing w:after="0" w:line="240" w:lineRule="auto"/>
            </w:pPr>
            <w:r/>
            <w:r>
              <w:rPr>
                <w:sz w:val="18"/>
              </w:rPr>
              <w:t>about 140</w:t>
            </w:r>
          </w:p>
        </w:tc>
        <w:tc>
          <w:tcPr>
            <w:tcW w:type="dxa" w:w="2304"/>
          </w:tcPr>
          <w:p>
            <w:pPr>
              <w:spacing w:after="0" w:line="240" w:lineRule="auto"/>
            </w:pPr>
            <w:r/>
            <w:r>
              <w:rPr>
                <w:sz w:val="18"/>
              </w:rPr>
              <w:t>about 290</w:t>
            </w:r>
          </w:p>
        </w:tc>
      </w:tr>
      <w:tr>
        <w:trPr>
          <w:cantSplit w:val="true"/>
        </w:trPr>
        <w:tc>
          <w:tcPr>
            <w:tcW w:type="dxa" w:w="4752"/>
          </w:tcPr>
          <w:p>
            <w:pPr>
              <w:spacing w:after="0" w:line="240" w:lineRule="auto"/>
            </w:pPr>
            <w:r/>
            <w:r>
              <w:rPr>
                <w:b/>
                <w:sz w:val="18"/>
              </w:rPr>
              <w:t>All arms</w:t>
            </w:r>
          </w:p>
        </w:tc>
        <w:tc>
          <w:tcPr>
            <w:tcW w:type="dxa" w:w="2304"/>
          </w:tcPr>
          <w:p>
            <w:pPr>
              <w:spacing w:after="0" w:line="240" w:lineRule="auto"/>
            </w:pPr>
            <w:r/>
            <w:r>
              <w:rPr>
                <w:b/>
                <w:sz w:val="18"/>
              </w:rPr>
              <w:t>about 400</w:t>
            </w:r>
          </w:p>
        </w:tc>
        <w:tc>
          <w:tcPr>
            <w:tcW w:type="dxa" w:w="2304"/>
          </w:tcPr>
          <w:p>
            <w:pPr>
              <w:spacing w:after="0" w:line="240" w:lineRule="auto"/>
            </w:pPr>
            <w:r/>
            <w:r>
              <w:rPr>
                <w:b/>
                <w:sz w:val="18"/>
              </w:rPr>
              <w:t>about 970</w:t>
            </w:r>
          </w:p>
        </w:tc>
      </w:tr>
    </w:tbl>
    <w:p>
      <w:pPr>
        <w:spacing w:after="40"/>
      </w:pPr>
    </w:p>
    <w:p>
      <w:pPr>
        <w:spacing w:after="40"/>
      </w:pPr>
      <w:r>
        <w:rPr>
          <w:i/>
          <w:sz w:val="16"/>
        </w:rPr>
        <w:t>Subject-years run from first dose to last dose plus 28 days, or to the data lock point for subjects still on treatment, from the exposure dataset run on 3 September 2026. Completed-trial figures are taken from the XB-201 clinical study report; figures for ongoing trials are rounded to the nearest 10. XB-201 dosing ended before the period, so it contributes no interval exposure.</w:t>
      </w:r>
    </w:p>
    <w:p>
      <w:commentRangeStart w:id="27"/>
      <w:r>
        <w:rPr>
          <w:i w:val="0"/>
        </w:rPr>
        <w:t>Cumulative exposure to XB-7 by age group, sex and racial group, and the demographic characteristics of the pivotal trial XB-301, are presented in Appendix 4, using the same age bands as the analyses of serious infections in Section 18.1. No healthy volunteers or children have received XB-7 in the sponsor's trials. This year's cumulative total follows from last year's: XB-201's figures are unchanged, and the increase reflects subjects randomized in XB-301 during the period.</w:t>
      </w:r>
      <w:commentRangeEnd w:id="27"/>
      <w:r>
        <w:rPr>
          <w:rStyle w:val="CommentReference"/>
        </w:rPr>
        <w:commentReference w:id="27"/>
      </w:r>
    </w:p>
    <w:p>
      <w:pPr>
        <w:pStyle w:val="Heading2"/>
      </w:pPr>
      <w:bookmarkStart w:id="1009" w:name="_Toc0010"/>
      <w:r>
        <w:t>6.2 Patient Exposure from Marketing Experience</w:t>
      </w:r>
      <w:bookmarkEnd w:id="1009"/>
    </w:p>
    <w:p>
      <w:r>
        <w:rPr>
          <w:i w:val="0"/>
        </w:rPr>
        <w:t>XB-7 is not marketed; there is no exposure from marketing experience.</w:t>
      </w:r>
    </w:p>
    <w:p>
      <w:pPr>
        <w:pStyle w:val="Heading1"/>
      </w:pPr>
      <w:commentRangeStart w:id="28"/>
      <w:bookmarkStart w:id="1010" w:name="_Toc0011"/>
      <w:r>
        <w:t>7. Data in Line Listings and Summary Tabulations</w:t>
      </w:r>
      <w:bookmarkEnd w:id="1010"/>
      <w:commentRangeEnd w:id="28"/>
      <w:r>
        <w:rPr>
          <w:rStyle w:val="CommentReference"/>
        </w:rPr>
        <w:commentReference w:id="28"/>
      </w:r>
    </w:p>
    <w:p>
      <w:pPr>
        <w:pStyle w:val="Heading2"/>
      </w:pPr>
      <w:bookmarkStart w:id="1011" w:name="_Toc0012"/>
      <w:r>
        <w:t>7.1 Reference Information</w:t>
      </w:r>
      <w:bookmarkEnd w:id="1011"/>
    </w:p>
    <w:p>
      <w:commentRangeStart w:id="29"/>
      <w:r>
        <w:rPr>
          <w:i w:val="0"/>
        </w:rPr>
        <w:t>Expectedness was assessed against the reference safety information in Section 6.4 of the Investigator's Brochure, Edition 5, dated 14 May 2025, in effect at the start of the reporting period. Edition 6, approved in March 2026, added sepsis (Section 4). Both cases of sepsis in the period were received before Edition 6 was approved and were expedited as SUSARs; they are presented as unexpected in this report, consistent with Edition 5. Events were coded using MedDRA version 29.0.</w:t>
      </w:r>
      <w:commentRangeEnd w:id="29"/>
      <w:r>
        <w:rPr>
          <w:rStyle w:val="CommentReference"/>
        </w:rPr>
        <w:commentReference w:id="29"/>
      </w:r>
    </w:p>
    <w:p>
      <w:r>
        <w:rPr>
          <w:i w:val="0"/>
        </w:rPr>
        <w:t>Line listings and tabulations were generated from the sponsor's safety database. Before the tables were locked, the safety and clinical trial databases were reconciled by trial, subject and onset date; no case was missing from either database. Every SUSAR expedited during the period appears in the line listing in Appendix 5.</w:t>
      </w:r>
    </w:p>
    <w:p>
      <w:pPr>
        <w:pStyle w:val="Heading2"/>
      </w:pPr>
      <w:bookmarkStart w:id="1012" w:name="_Toc0013"/>
      <w:r>
        <w:t>7.2 Line Listings of Serious Adverse Reactions</w:t>
      </w:r>
      <w:bookmarkEnd w:id="1012"/>
    </w:p>
    <w:p>
      <w:commentRangeStart w:id="30"/>
      <w:r>
        <w:rPr>
          <w:i w:val="0"/>
        </w:rPr>
        <w:t>The line listing in Appendix 5 includes all serious adverse events reported from sponsor clinical trials between 2 September 2025 and 1 September 2026 for which the investigator or the sponsor considered a causal relationship with the investigational product at least reasonably possible, including blinded cases.</w:t>
      </w:r>
      <w:commentRangeEnd w:id="30"/>
      <w:r>
        <w:rPr>
          <w:rStyle w:val="CommentReference"/>
        </w:rPr>
        <w:commentReference w:id="30"/>
      </w:r>
    </w:p>
    <w:p>
      <w:commentRangeStart w:id="31"/>
      <w:r>
        <w:rPr>
          <w:i w:val="0"/>
        </w:rPr>
        <w:t>Cases in XB-301 are shown as "blinded" unless the blind was broken for the individual case. Listings are ordered by trial and then by System Organ Class, and each subject appears once per episode under the most serious reaction. The listing contains 11 serious adverse reactions, all in the System Organ Class Infections and infestations; the other 3 serious infections in the period were assessed as not related by both the investigator and the sponsor and appear only in the cumulative tabulation (Appendix 6).</w:t>
      </w:r>
      <w:commentRangeEnd w:id="31"/>
      <w:r>
        <w:rPr>
          <w:rStyle w:val="CommentReference"/>
        </w:rPr>
        <w:commentReference w:id="31"/>
      </w:r>
    </w:p>
    <w:p>
      <w:pPr>
        <w:pStyle w:val="Heading2"/>
      </w:pPr>
      <w:bookmarkStart w:id="1013" w:name="_Toc0014"/>
      <w:r>
        <w:t>7.3 Cumulative Summary Tabulations of Serious Adverse Events</w:t>
      </w:r>
      <w:bookmarkEnd w:id="1013"/>
    </w:p>
    <w:p>
      <w:commentRangeStart w:id="32"/>
      <w:r>
        <w:rPr>
          <w:i w:val="0"/>
        </w:rPr>
        <w:t>Appendix 6 presents all serious adverse events reported in the sponsor's trials since the DIBD, by MedDRA System Organ Class and Preferred Term. Only the terms that made each case serious are tabulated. The tabulation is split by trial and arm: XB-7 and placebo in XB-201, treatment unknown due to blinding in XB-301, and XB-7 in XB-302, with a total column (Table A6-1). A fully pooled version is given in Table A6-2. There is no active comparator in the program.</w:t>
      </w:r>
      <w:commentRangeEnd w:id="32"/>
      <w:r>
        <w:rPr>
          <w:rStyle w:val="CommentReference"/>
        </w:rPr>
        <w:commentReference w:id="32"/>
      </w:r>
    </w:p>
    <w:p>
      <w:commentRangeStart w:id="33"/>
      <w:r>
        <w:rPr>
          <w:i w:val="0"/>
        </w:rPr>
        <w:t>The two cases of sepsis in XB-301 that were unblinded for expedited reporting are counted in the XB-301 column so that the column remains the complete count for the blinded trial; they are identified in a footnote to the table and listed with their treatment in Appendix 5. Events of worsening disease activity that are efficacy endpoints in XB-301 are excluded from the tabulation and footnoted. The XB-7 protocols do not define adverse events of special interest, so no separate tabulation is provided. Subjects who died during the period are listed in Regional Appendix R2.</w:t>
      </w:r>
      <w:commentRangeEnd w:id="33"/>
      <w:r>
        <w:rPr>
          <w:rStyle w:val="CommentReference"/>
        </w:rPr>
        <w:commentReference w:id="33"/>
      </w:r>
    </w:p>
    <w:p>
      <w:pPr>
        <w:pStyle w:val="Heading1"/>
      </w:pPr>
      <w:commentRangeStart w:id="34"/>
      <w:bookmarkStart w:id="1014" w:name="_Toc0015"/>
      <w:r>
        <w:t>8. Significant Findings from Clinical Trials during the Reporting Period</w:t>
      </w:r>
      <w:bookmarkEnd w:id="1014"/>
      <w:commentRangeEnd w:id="34"/>
      <w:r>
        <w:rPr>
          <w:rStyle w:val="CommentReference"/>
        </w:rPr>
        <w:commentReference w:id="34"/>
      </w:r>
    </w:p>
    <w:p>
      <w:pPr>
        <w:pStyle w:val="Heading2"/>
      </w:pPr>
      <w:bookmarkStart w:id="1015" w:name="_Toc0016"/>
      <w:r>
        <w:t>8.1 Completed Clinical Trials</w:t>
      </w:r>
      <w:bookmarkEnd w:id="1015"/>
    </w:p>
    <w:p>
      <w:commentRangeStart w:id="35"/>
      <w:r>
        <w:rPr>
          <w:i w:val="0"/>
        </w:rPr>
        <w:t>The clinical study report for XB-201, a placebo-controlled trial in 270 adults (52 weeks of treatment and 12 weeks of follow-up) with moderate-to-severe disease, was finalized in February 2026. The primary efficacy endpoint was met. Serious infections, an identified risk, occurred in 6 of 180 subjects receiving XB-7 (3.1 per 100 subject-years) and 2 of 90 receiving placebo (1.9 per 100 subject-years); all were bacterial respiratory or skin infections and none was opportunistic. These results are consistent with the known profile (Section 18.1). Injection-site reactions were more frequent with XB-7 (14% versus 4%); none was serious. No new safety signal was identified. A synopsis is provided in Appendix 3.</w:t>
      </w:r>
      <w:commentRangeEnd w:id="35"/>
      <w:r>
        <w:rPr>
          <w:rStyle w:val="CommentReference"/>
        </w:rPr>
        <w:commentReference w:id="35"/>
      </w:r>
    </w:p>
    <w:p>
      <w:pPr>
        <w:pStyle w:val="Heading2"/>
      </w:pPr>
      <w:bookmarkStart w:id="1016" w:name="_Toc0017"/>
      <w:r>
        <w:t>8.2 Ongoing Clinical Trials</w:t>
      </w:r>
      <w:bookmarkEnd w:id="1016"/>
    </w:p>
    <w:p>
      <w:commentRangeStart w:id="36"/>
      <w:r>
        <w:rPr>
          <w:i w:val="0"/>
        </w:rPr>
        <w:t>XB-301 remains blinded. The Data Monitoring Committee reviewed unblinded safety data in December 2025 and June 2026 and recommended that the trial continue without modification. Two cases of sepsis were unblinded for expedited reporting during the period; both subjects had received XB-7. Because the remaining serious infections are blinded, no comparison between treatment groups is possible; the cumulative number of serious infections in XB-301 is presented in the SAE tabulation (Appendix 6).</w:t>
      </w:r>
      <w:commentRangeEnd w:id="36"/>
      <w:r>
        <w:rPr>
          <w:rStyle w:val="CommentReference"/>
        </w:rPr>
        <w:commentReference w:id="36"/>
      </w:r>
    </w:p>
    <w:p>
      <w:commentRangeStart w:id="37"/>
      <w:r>
        <w:rPr>
          <w:i w:val="0"/>
        </w:rPr>
        <w:t>XB-302, the open-label extension, continued throughout the period. Five serious infections and one death (myocardial infarction, assessed as not related) were reported in XB-302 during the period; they are evaluated in Section 18.1. No other clinically important information emerged from the trial.</w:t>
      </w:r>
      <w:commentRangeEnd w:id="37"/>
      <w:r>
        <w:rPr>
          <w:rStyle w:val="CommentReference"/>
        </w:rPr>
        <w:commentReference w:id="37"/>
      </w:r>
    </w:p>
    <w:p>
      <w:pPr>
        <w:pStyle w:val="Heading2"/>
      </w:pPr>
      <w:bookmarkStart w:id="1017" w:name="_Toc0018"/>
      <w:r>
        <w:t>8.3 Long-term Follow-up</w:t>
      </w:r>
      <w:bookmarkEnd w:id="1017"/>
    </w:p>
    <w:p>
      <w:r>
        <w:rPr>
          <w:i w:val="0"/>
        </w:rPr>
        <w:t>No long-term follow-up studies are part of the development program. Long-term treatment is studied in the extension trial XB-302 (Section 8.2).</w:t>
      </w:r>
    </w:p>
    <w:p>
      <w:pPr>
        <w:pStyle w:val="Heading2"/>
      </w:pPr>
      <w:bookmarkStart w:id="1018" w:name="_Toc0019"/>
      <w:r>
        <w:t>8.4 Other Therapeutic Use of Investigational Drug</w:t>
      </w:r>
      <w:bookmarkEnd w:id="1018"/>
    </w:p>
    <w:p>
      <w:r>
        <w:rPr>
          <w:i w:val="0"/>
        </w:rPr>
        <w:t>XB-7 was not provided through expanded access, compassionate use or any other program during the reporting period.</w:t>
      </w:r>
    </w:p>
    <w:p>
      <w:pPr>
        <w:pStyle w:val="Heading2"/>
      </w:pPr>
      <w:bookmarkStart w:id="1019" w:name="_Toc0020"/>
      <w:r>
        <w:t>8.5 New Safety Data Related to Combination Therapies</w:t>
      </w:r>
      <w:bookmarkEnd w:id="1019"/>
    </w:p>
    <w:p>
      <w:commentRangeStart w:id="38"/>
      <w:r>
        <w:rPr>
          <w:i w:val="0"/>
        </w:rPr>
        <w:t>XB-7 is not developed in combination with other investigational or marketed drugs; this section is not applicable.</w:t>
      </w:r>
      <w:commentRangeEnd w:id="38"/>
      <w:r>
        <w:rPr>
          <w:rStyle w:val="CommentReference"/>
        </w:rPr>
        <w:commentReference w:id="38"/>
      </w:r>
    </w:p>
    <w:p>
      <w:pPr>
        <w:pStyle w:val="Heading1"/>
      </w:pPr>
      <w:commentRangeStart w:id="39"/>
      <w:bookmarkStart w:id="1020" w:name="_Toc0021"/>
      <w:r>
        <w:t>9. Safety Findings from Non-interventional Studies</w:t>
      </w:r>
      <w:bookmarkEnd w:id="1020"/>
      <w:commentRangeEnd w:id="39"/>
      <w:r>
        <w:rPr>
          <w:rStyle w:val="CommentReference"/>
        </w:rPr>
        <w:commentReference w:id="39"/>
      </w:r>
    </w:p>
    <w:p>
      <w:r>
        <w:rPr>
          <w:i w:val="0"/>
        </w:rPr>
        <w:t>No non-interventional studies of XB-7 were ongoing or completed during the reporting period, and no safety information from such studies became available to the sponsor.</w:t>
      </w:r>
    </w:p>
    <w:p>
      <w:pPr>
        <w:pStyle w:val="Heading1"/>
      </w:pPr>
      <w:bookmarkStart w:id="1021" w:name="_Toc0022"/>
      <w:r>
        <w:t>10. Other Clinical Trial/Study Safety Information</w:t>
      </w:r>
      <w:bookmarkEnd w:id="1021"/>
    </w:p>
    <w:p>
      <w:r>
        <w:rPr>
          <w:i w:val="0"/>
        </w:rPr>
        <w:t>No safety information from other clinical trials or studies, including pooled analyses, meta-analyses or trials conducted by other sponsors, became available to the sponsor during the reporting period.</w:t>
      </w:r>
    </w:p>
    <w:p>
      <w:pPr>
        <w:pStyle w:val="Heading1"/>
      </w:pPr>
      <w:bookmarkStart w:id="1022" w:name="_Toc0023"/>
      <w:r>
        <w:t>11. Safety Findings from Marketing Experience</w:t>
      </w:r>
      <w:bookmarkEnd w:id="1022"/>
    </w:p>
    <w:p>
      <w:r>
        <w:rPr>
          <w:i w:val="0"/>
        </w:rPr>
        <w:t>XB-7 is not marketed in any country (Section 2).</w:t>
      </w:r>
    </w:p>
    <w:p>
      <w:pPr>
        <w:pStyle w:val="Heading1"/>
      </w:pPr>
      <w:bookmarkStart w:id="1023" w:name="_Toc0024"/>
      <w:r>
        <w:t>12. Non-clinical Data</w:t>
      </w:r>
      <w:bookmarkEnd w:id="1023"/>
    </w:p>
    <w:p>
      <w:commentRangeStart w:id="40"/>
      <w:r>
        <w:rPr>
          <w:i w:val="0"/>
        </w:rPr>
        <w:t>No new non-clinical findings of clinical relevance became available during the period. No non-clinical study was completed. One study is ongoing: An enhanced pre- and postnatal development study in cynomolgus monkeys (results expected in 2027).</w:t>
      </w:r>
      <w:commentRangeEnd w:id="40"/>
      <w:r>
        <w:rPr>
          <w:rStyle w:val="CommentReference"/>
        </w:rPr>
        <w:commentReference w:id="40"/>
      </w:r>
    </w:p>
    <w:p>
      <w:pPr>
        <w:pStyle w:val="Heading1"/>
      </w:pPr>
      <w:bookmarkStart w:id="1024" w:name="_Toc0025"/>
      <w:r>
        <w:t>13. Literature</w:t>
      </w:r>
      <w:bookmarkEnd w:id="1024"/>
    </w:p>
    <w:p>
      <w:commentRangeStart w:id="41"/>
      <w:r>
        <w:rPr>
          <w:i w:val="0"/>
        </w:rPr>
        <w:t>A search of MEDLINE and Embase for XB-7, its codes and other monoclonal antibodies against the same cytokine, combined with terms for serious infection, sepsis, opportunistic infection and hypersensitivity, limited to 2 September 2025 to 1 September 2026, identified 58 publications, of which 7 reported safety information on drugs of the class. Rates of serious infection reported for the class in these publications were consistent with those observed in the XB-7 program, and no new type of infection was described. No new safety findings for XB-7 or its class were identified. The search strategy is available on request.</w:t>
      </w:r>
      <w:commentRangeEnd w:id="41"/>
      <w:r>
        <w:rPr>
          <w:rStyle w:val="CommentReference"/>
        </w:rPr>
        <w:commentReference w:id="41"/>
      </w:r>
    </w:p>
    <w:p>
      <w:pPr>
        <w:pStyle w:val="Heading1"/>
      </w:pPr>
      <w:bookmarkStart w:id="1025" w:name="_Toc0026"/>
      <w:r>
        <w:t>14. Other DSURs</w:t>
      </w:r>
      <w:bookmarkEnd w:id="1025"/>
    </w:p>
    <w:p>
      <w:r>
        <w:rPr>
          <w:i w:val="0"/>
        </w:rPr>
        <w:t>The sponsor prepares a single DSUR for XB-7. No other DSURs are prepared for this substance.</w:t>
      </w:r>
    </w:p>
    <w:p>
      <w:pPr>
        <w:pStyle w:val="Heading1"/>
      </w:pPr>
      <w:bookmarkStart w:id="1026" w:name="_Toc0027"/>
      <w:r>
        <w:t>15. Lack of Efficacy</w:t>
      </w:r>
      <w:bookmarkEnd w:id="1026"/>
    </w:p>
    <w:p>
      <w:commentRangeStart w:id="42"/>
      <w:r>
        <w:rPr>
          <w:i w:val="0"/>
        </w:rPr>
        <w:t>No data indicating lack of efficacy that could represent a risk to trial subjects became available during the reporting period. The completed trial XB-201 met its primary efficacy endpoint (Section 8.1).</w:t>
      </w:r>
      <w:commentRangeEnd w:id="42"/>
      <w:r>
        <w:rPr>
          <w:rStyle w:val="CommentReference"/>
        </w:rPr>
        <w:commentReference w:id="42"/>
      </w:r>
    </w:p>
    <w:p>
      <w:pPr>
        <w:pStyle w:val="Heading1"/>
      </w:pPr>
      <w:commentRangeStart w:id="43"/>
      <w:bookmarkStart w:id="1027" w:name="_Toc0028"/>
      <w:r>
        <w:t>16. Region-specific Information</w:t>
      </w:r>
      <w:bookmarkEnd w:id="1027"/>
      <w:commentRangeEnd w:id="43"/>
      <w:r>
        <w:rPr>
          <w:rStyle w:val="CommentReference"/>
        </w:rPr>
        <w:commentReference w:id="43"/>
      </w:r>
    </w:p>
    <w:p>
      <w:r>
        <w:rPr>
          <w:i w:val="0"/>
        </w:rPr>
        <w:t>Region-specific information is provided in the regional appendices listed below. It does not change the assessment in Section 18.</w:t>
      </w:r>
    </w:p>
    <w:p>
      <w:pPr>
        <w:pStyle w:val="ListBullet"/>
        <w:spacing w:after="60"/>
      </w:pPr>
      <w:r>
        <w:rPr>
          <w:b/>
        </w:rPr>
        <w:t xml:space="preserve">R1 </w:t>
      </w:r>
      <w:r>
        <w:t>Cumulative summary tabulation of serious adverse reactions, with unexpected terms identified against IB Edition 5 (United States and European Union).</w:t>
      </w:r>
    </w:p>
    <w:p>
      <w:pPr>
        <w:pStyle w:val="ListBullet"/>
        <w:spacing w:after="60"/>
      </w:pPr>
      <w:r>
        <w:rPr>
          <w:b/>
        </w:rPr>
        <w:t xml:space="preserve">R2 </w:t>
      </w:r>
      <w:r>
        <w:t>Subjects who died during the reporting period.</w:t>
      </w:r>
    </w:p>
    <w:p>
      <w:pPr>
        <w:pStyle w:val="ListBullet"/>
        <w:spacing w:after="60"/>
      </w:pPr>
      <w:r>
        <w:rPr>
          <w:b/>
        </w:rPr>
        <w:t xml:space="preserve">R3 </w:t>
      </w:r>
      <w:r>
        <w:t>Subjects who withdrew from treatment in association with an adverse event during the reporting period.</w:t>
      </w:r>
    </w:p>
    <w:p>
      <w:pPr>
        <w:pStyle w:val="ListBullet"/>
        <w:spacing w:after="60"/>
      </w:pPr>
      <w:r>
        <w:rPr>
          <w:b/>
        </w:rPr>
        <w:t xml:space="preserve">R4 </w:t>
      </w:r>
      <w:r>
        <w:t>United States IND items: significant Phase 1 protocol modifications, significant manufacturing changes, the general investigational plan for the coming year and the log of outstanding business.</w:t>
      </w:r>
    </w:p>
    <w:p>
      <w:pPr>
        <w:pStyle w:val="ListBullet"/>
        <w:spacing w:after="60"/>
      </w:pPr>
      <w:r>
        <w:rPr>
          <w:b/>
        </w:rPr>
        <w:t xml:space="preserve">R5 </w:t>
      </w:r>
      <w:r>
        <w:t>United Kingdom: the reference safety information in effect at the start of the period, the latest IB edition, the sponsor's signal management process and a signal outcome table.</w:t>
      </w:r>
    </w:p>
    <w:p>
      <w:r>
        <w:rPr>
          <w:i w:val="0"/>
        </w:rPr>
        <w:t>The death and withdrawal lists raise no safety issue beyond those evaluated in Section 18.1. In the European Union this DSUR is submitted as the annual safety report through the Clinical Trials Information System.</w:t>
      </w:r>
    </w:p>
    <w:p>
      <w:pPr>
        <w:pStyle w:val="Heading1"/>
      </w:pPr>
      <w:commentRangeStart w:id="44"/>
      <w:bookmarkStart w:id="1028" w:name="_Toc0029"/>
      <w:r>
        <w:t>17. Late-breaking Information</w:t>
      </w:r>
      <w:bookmarkEnd w:id="1028"/>
      <w:commentRangeEnd w:id="44"/>
      <w:r>
        <w:rPr>
          <w:rStyle w:val="CommentReference"/>
        </w:rPr>
        <w:commentReference w:id="44"/>
      </w:r>
    </w:p>
    <w:p>
      <w:commentRangeStart w:id="45"/>
      <w:r>
        <w:rPr>
          <w:i w:val="0"/>
        </w:rPr>
        <w:t>On 22 September 2026, after the data lock point, the Data Monitoring Committee for XB-301 completed its scheduled review of unblinded safety data and recommended additional assessment for signs and symptoms of serious infection at each visit for subjects aged 75 years or older and for subjects receiving systemic corticosteroids. The sponsor accepted the recommendation, and a protocol amendment is in preparation. The DMC recommended that the trial continue without other changes. The implications are discussed in Section 18.1 (serious infections).</w:t>
      </w:r>
      <w:commentRangeEnd w:id="45"/>
      <w:r>
        <w:rPr>
          <w:rStyle w:val="CommentReference"/>
        </w:rPr>
        <w:commentReference w:id="45"/>
      </w:r>
    </w:p>
    <w:p>
      <w:r>
        <w:rPr>
          <w:i w:val="0"/>
        </w:rPr>
        <w:t>No other significant safety information was received between the data lock point and the agreed cut-off of 26 September 2026.</w:t>
      </w:r>
    </w:p>
    <w:p>
      <w:pPr>
        <w:pStyle w:val="Heading1"/>
      </w:pPr>
      <w:commentRangeStart w:id="46"/>
      <w:bookmarkStart w:id="1029" w:name="_Toc0030"/>
      <w:r>
        <w:t>18. Overall Safety Assessment</w:t>
      </w:r>
      <w:bookmarkEnd w:id="1029"/>
      <w:commentRangeEnd w:id="46"/>
      <w:r>
        <w:rPr>
          <w:rStyle w:val="CommentReference"/>
        </w:rPr>
        <w:commentReference w:id="46"/>
      </w:r>
    </w:p>
    <w:p>
      <w:pPr>
        <w:pStyle w:val="Heading2"/>
      </w:pPr>
      <w:bookmarkStart w:id="1030" w:name="_Toc0031"/>
      <w:r>
        <w:t>18.1 Evaluation of the Risks</w:t>
      </w:r>
      <w:bookmarkEnd w:id="1030"/>
    </w:p>
    <w:p>
      <w:commentRangeStart w:id="47"/>
      <w:r>
        <w:rPr>
          <w:i w:val="0"/>
        </w:rPr>
        <w:t>No new important risk emerged during the reporting period. Serious infections, the principal identified risk, occurred modestly more often than expected and were concentrated in older subjects and those receiving corticosteroids; the sponsor has accepted additional monitoring in those subgroups. Injection-site reactions were consistent with previous experience. The other points considered are summarized at the end of this section.</w:t>
      </w:r>
      <w:commentRangeEnd w:id="47"/>
      <w:r>
        <w:rPr>
          <w:rStyle w:val="CommentReference"/>
        </w:rPr>
        <w:commentReference w:id="47"/>
      </w:r>
    </w:p>
    <w:p>
      <w:pPr>
        <w:pStyle w:val="Heading3"/>
      </w:pPr>
      <w:bookmarkStart w:id="1031" w:name="_Toc0032"/>
      <w:r>
        <w:t>Serious infections (important identified risk)</w:t>
      </w:r>
      <w:bookmarkEnd w:id="1031"/>
    </w:p>
    <w:p>
      <w:commentRangeStart w:id="48"/>
      <w:r>
        <w:rPr>
          <w:i w:val="0"/>
        </w:rPr>
        <w:t>Serious infections remain the principal identified risk of XB-7. The 14 events in the period (9 in blinded XB-301 and 5 in open-label XB-302, among approximately 400 subject-years of exposure across all arms) give a rate of about 3.5 per 100 subject-years, modestly above the 2.7 expected from XB-201's rates (3.1 with XB-7, 1.9 with placebo) and XB-301's 2:1 randomization. The difference is small, based on few events, and partly explained by the older, longer-treated population of XB-302; the types of infection are unchanged and none was opportunistic. Two cases of sepsis, both on XB-7, led to the IB update described in Section 4. Two events occurred in subjects over 75 receiving corticosteroids, a group already recognized as at higher risk; after the data lock point, the DMC reviewed unblinded data and recommended additional infection assessment at each visit for these subgroups (Section 17), which the sponsor has accepted. The risk to current subjects is therefore unchanged in nature and is being managed more closely in the subgroups at greatest risk. The Summary of Important Risks has been updated accordingly (Section 19).</w:t>
      </w:r>
      <w:commentRangeEnd w:id="48"/>
      <w:r>
        <w:rPr>
          <w:rStyle w:val="CommentReference"/>
        </w:rPr>
        <w:commentReference w:id="48"/>
      </w:r>
    </w:p>
    <w:p>
      <w:commentRangeStart w:id="49"/>
      <w:r>
        <w:rPr>
          <w:i w:val="0"/>
        </w:rPr>
        <w:t>The DMC's recommendation, which targets older subjects and those receiving corticosteroids, is consistent with this explanation. It also fulfils the commitment in Section 20 of the previous DSUR to evaluate serious infections by age and corticosteroid use once XB-201 was complete: the completed trial and the period's cases both point to the same subgroups, and monitoring is now being targeted at them.</w:t>
      </w:r>
      <w:commentRangeEnd w:id="49"/>
      <w:r>
        <w:rPr>
          <w:rStyle w:val="CommentReference"/>
        </w:rPr>
        <w:commentReference w:id="49"/>
      </w:r>
    </w:p>
    <w:p>
      <w:commentRangeStart w:id="50"/>
      <w:r>
        <w:rPr>
          <w:i w:val="0"/>
        </w:rPr>
        <w:t>Of the 14 serious infections, 11 were assessed as related by the investigator or the sponsor and are listed in Appendix 5; the other 3 had alternative causes (influenza A, a traumatic laceration and hospital-acquired infection after a fracture). Twelve were bacterial respiratory or skin infections (pneumonia 7, cellulitis 5) and two were sepsis. No opportunistic infection or tuberculosis was reported. Cumulatively, 31 serious infections have been reported in the program since the DIBD (Appendix 6).</w:t>
      </w:r>
      <w:commentRangeEnd w:id="50"/>
      <w:r>
        <w:rPr>
          <w:rStyle w:val="CommentReference"/>
        </w:rPr>
        <w:commentReference w:id="50"/>
      </w:r>
    </w:p>
    <w:p>
      <w:pPr>
        <w:keepNext/>
        <w:spacing w:before="120" w:after="60"/>
      </w:pPr>
      <w:commentRangeStart w:id="51"/>
      <w:r>
        <w:rPr>
          <w:b/>
          <w:color w:val="1F3864"/>
          <w:sz w:val="19"/>
        </w:rPr>
        <w:t>Table 18-1. Serious infections in the period were modestly above the rate expected from XB-201</w:t>
      </w:r>
      <w:commentRangeEnd w:id="51"/>
      <w:r>
        <w:rPr>
          <w:rStyle w:val="CommentReference"/>
        </w:rPr>
        <w:commentReference w:id="51"/>
      </w:r>
    </w:p>
    <w:tbl>
      <w:tblPr>
        <w:tblStyle w:val="TableGrid"/>
        <w:tblW w:type="dxa" w:w="9359"/>
        <w:jc w:val="center"/>
        <w:tblLayout w:type="fixed"/>
        <w:tblCellMar>
          <w:top w:w="30" w:type="dxa"/>
          <w:left w:w="70" w:type="dxa"/>
          <w:bottom w:w="30" w:type="dxa"/>
          <w:right w:w="70" w:type="dxa"/>
        </w:tblCellMar>
        <w:tblLook w:firstColumn="1" w:firstRow="1" w:lastColumn="0" w:lastRow="0" w:noHBand="0" w:noVBand="1" w:val="04A0"/>
      </w:tblPr>
      <w:tblGrid>
        <w:gridCol w:w="4752"/>
        <w:gridCol w:w="1152"/>
        <w:gridCol w:w="1584"/>
        <w:gridCol w:w="1872"/>
      </w:tblGrid>
      <w:tr>
        <w:trPr>
          <w:cantSplit w:val="true"/>
          <w:tblHeader w:val="true"/>
        </w:trPr>
        <w:tc>
          <w:tcPr>
            <w:tcW w:type="dxa" w:w="4752"/>
            <w:shd w:val="clear" w:color="auto" w:fill="E8EDF4"/>
          </w:tcPr>
          <w:p>
            <w:pPr>
              <w:spacing w:after="0" w:line="240" w:lineRule="auto"/>
            </w:pPr>
            <w:r/>
            <w:r>
              <w:rPr>
                <w:b/>
                <w:sz w:val="18"/>
              </w:rPr>
              <w:t>Source</w:t>
            </w:r>
          </w:p>
        </w:tc>
        <w:tc>
          <w:tcPr>
            <w:tcW w:type="dxa" w:w="1152"/>
            <w:shd w:val="clear" w:color="auto" w:fill="E8EDF4"/>
          </w:tcPr>
          <w:p>
            <w:pPr>
              <w:spacing w:after="0" w:line="240" w:lineRule="auto"/>
            </w:pPr>
            <w:r/>
            <w:r>
              <w:rPr>
                <w:b/>
                <w:sz w:val="18"/>
              </w:rPr>
              <w:t>Events</w:t>
            </w:r>
          </w:p>
        </w:tc>
        <w:tc>
          <w:tcPr>
            <w:tcW w:type="dxa" w:w="1584"/>
            <w:shd w:val="clear" w:color="auto" w:fill="E8EDF4"/>
          </w:tcPr>
          <w:p>
            <w:pPr>
              <w:spacing w:after="0" w:line="240" w:lineRule="auto"/>
            </w:pPr>
            <w:r/>
            <w:r>
              <w:rPr>
                <w:b/>
                <w:sz w:val="18"/>
              </w:rPr>
              <w:t>Subject-years</w:t>
            </w:r>
          </w:p>
        </w:tc>
        <w:tc>
          <w:tcPr>
            <w:tcW w:type="dxa" w:w="1872"/>
            <w:shd w:val="clear" w:color="auto" w:fill="E8EDF4"/>
          </w:tcPr>
          <w:p>
            <w:pPr>
              <w:spacing w:after="0" w:line="240" w:lineRule="auto"/>
            </w:pPr>
            <w:r/>
            <w:r>
              <w:rPr>
                <w:b/>
                <w:sz w:val="18"/>
              </w:rPr>
              <w:t>Rate per 100 subject-years</w:t>
            </w:r>
          </w:p>
        </w:tc>
      </w:tr>
      <w:tr>
        <w:trPr>
          <w:cantSplit w:val="true"/>
        </w:trPr>
        <w:tc>
          <w:tcPr>
            <w:tcW w:type="dxa" w:w="4752"/>
          </w:tcPr>
          <w:p>
            <w:pPr>
              <w:spacing w:after="0" w:line="240" w:lineRule="auto"/>
            </w:pPr>
            <w:r/>
            <w:r>
              <w:rPr>
                <w:sz w:val="18"/>
              </w:rPr>
              <w:t>Period, all arms (XB-301 blinded and XB-302)</w:t>
            </w:r>
          </w:p>
        </w:tc>
        <w:tc>
          <w:tcPr>
            <w:tcW w:type="dxa" w:w="1152"/>
          </w:tcPr>
          <w:p>
            <w:pPr>
              <w:spacing w:after="0" w:line="240" w:lineRule="auto"/>
            </w:pPr>
            <w:r/>
            <w:r>
              <w:rPr>
                <w:sz w:val="18"/>
              </w:rPr>
              <w:t>14</w:t>
            </w:r>
          </w:p>
        </w:tc>
        <w:tc>
          <w:tcPr>
            <w:tcW w:type="dxa" w:w="1584"/>
          </w:tcPr>
          <w:p>
            <w:pPr>
              <w:spacing w:after="0" w:line="240" w:lineRule="auto"/>
            </w:pPr>
            <w:r/>
            <w:r>
              <w:rPr>
                <w:sz w:val="18"/>
              </w:rPr>
              <w:t>about 400</w:t>
            </w:r>
          </w:p>
        </w:tc>
        <w:tc>
          <w:tcPr>
            <w:tcW w:type="dxa" w:w="1872"/>
          </w:tcPr>
          <w:p>
            <w:pPr>
              <w:spacing w:after="0" w:line="240" w:lineRule="auto"/>
            </w:pPr>
            <w:r/>
            <w:r>
              <w:rPr>
                <w:sz w:val="18"/>
              </w:rPr>
              <w:t>3.5</w:t>
            </w:r>
          </w:p>
        </w:tc>
      </w:tr>
      <w:tr>
        <w:trPr>
          <w:cantSplit w:val="true"/>
        </w:trPr>
        <w:tc>
          <w:tcPr>
            <w:tcW w:type="dxa" w:w="4752"/>
          </w:tcPr>
          <w:p>
            <w:pPr>
              <w:spacing w:after="0" w:line="240" w:lineRule="auto"/>
            </w:pPr>
            <w:r/>
            <w:r>
              <w:rPr>
                <w:sz w:val="18"/>
              </w:rPr>
              <w:t>Expected, from XB-201 rates at XB-301's 2:1 ratio</w:t>
            </w:r>
          </w:p>
        </w:tc>
        <w:tc>
          <w:tcPr>
            <w:tcW w:type="dxa" w:w="1152"/>
          </w:tcPr>
          <w:p>
            <w:pPr>
              <w:spacing w:after="0" w:line="240" w:lineRule="auto"/>
            </w:pPr>
            <w:r/>
            <w:r>
              <w:rPr>
                <w:sz w:val="18"/>
              </w:rPr>
              <w:t>—</w:t>
            </w:r>
          </w:p>
        </w:tc>
        <w:tc>
          <w:tcPr>
            <w:tcW w:type="dxa" w:w="1584"/>
          </w:tcPr>
          <w:p>
            <w:pPr>
              <w:spacing w:after="0" w:line="240" w:lineRule="auto"/>
            </w:pPr>
            <w:r/>
            <w:r>
              <w:rPr>
                <w:sz w:val="18"/>
              </w:rPr>
              <w:t>—</w:t>
            </w:r>
          </w:p>
        </w:tc>
        <w:tc>
          <w:tcPr>
            <w:tcW w:type="dxa" w:w="1872"/>
          </w:tcPr>
          <w:p>
            <w:pPr>
              <w:spacing w:after="0" w:line="240" w:lineRule="auto"/>
            </w:pPr>
            <w:r/>
            <w:r>
              <w:rPr>
                <w:sz w:val="18"/>
              </w:rPr>
              <w:t>2.7</w:t>
            </w:r>
          </w:p>
        </w:tc>
      </w:tr>
      <w:tr>
        <w:trPr>
          <w:cantSplit w:val="true"/>
        </w:trPr>
        <w:tc>
          <w:tcPr>
            <w:tcW w:type="dxa" w:w="4752"/>
          </w:tcPr>
          <w:p>
            <w:pPr>
              <w:spacing w:after="0" w:line="240" w:lineRule="auto"/>
            </w:pPr>
            <w:r/>
            <w:r>
              <w:rPr>
                <w:sz w:val="18"/>
              </w:rPr>
              <w:t>XB-201, XB-7</w:t>
            </w:r>
          </w:p>
        </w:tc>
        <w:tc>
          <w:tcPr>
            <w:tcW w:type="dxa" w:w="1152"/>
          </w:tcPr>
          <w:p>
            <w:pPr>
              <w:spacing w:after="0" w:line="240" w:lineRule="auto"/>
            </w:pPr>
            <w:r/>
            <w:r>
              <w:rPr>
                <w:sz w:val="18"/>
              </w:rPr>
              <w:t>6</w:t>
            </w:r>
          </w:p>
        </w:tc>
        <w:tc>
          <w:tcPr>
            <w:tcW w:type="dxa" w:w="1584"/>
          </w:tcPr>
          <w:p>
            <w:pPr>
              <w:spacing w:after="0" w:line="240" w:lineRule="auto"/>
            </w:pPr>
            <w:r/>
            <w:r>
              <w:rPr>
                <w:sz w:val="18"/>
              </w:rPr>
              <w:t>194</w:t>
            </w:r>
          </w:p>
        </w:tc>
        <w:tc>
          <w:tcPr>
            <w:tcW w:type="dxa" w:w="1872"/>
          </w:tcPr>
          <w:p>
            <w:pPr>
              <w:spacing w:after="0" w:line="240" w:lineRule="auto"/>
            </w:pPr>
            <w:r/>
            <w:r>
              <w:rPr>
                <w:sz w:val="18"/>
              </w:rPr>
              <w:t>3.1</w:t>
            </w:r>
          </w:p>
        </w:tc>
      </w:tr>
      <w:tr>
        <w:trPr>
          <w:cantSplit w:val="true"/>
        </w:trPr>
        <w:tc>
          <w:tcPr>
            <w:tcW w:type="dxa" w:w="4752"/>
          </w:tcPr>
          <w:p>
            <w:pPr>
              <w:spacing w:after="0" w:line="240" w:lineRule="auto"/>
            </w:pPr>
            <w:r/>
            <w:r>
              <w:rPr>
                <w:sz w:val="18"/>
              </w:rPr>
              <w:t>XB-201, placebo</w:t>
            </w:r>
          </w:p>
        </w:tc>
        <w:tc>
          <w:tcPr>
            <w:tcW w:type="dxa" w:w="1152"/>
          </w:tcPr>
          <w:p>
            <w:pPr>
              <w:spacing w:after="0" w:line="240" w:lineRule="auto"/>
            </w:pPr>
            <w:r/>
            <w:r>
              <w:rPr>
                <w:sz w:val="18"/>
              </w:rPr>
              <w:t>2</w:t>
            </w:r>
          </w:p>
        </w:tc>
        <w:tc>
          <w:tcPr>
            <w:tcW w:type="dxa" w:w="1584"/>
          </w:tcPr>
          <w:p>
            <w:pPr>
              <w:spacing w:after="0" w:line="240" w:lineRule="auto"/>
            </w:pPr>
            <w:r/>
            <w:r>
              <w:rPr>
                <w:sz w:val="18"/>
              </w:rPr>
              <w:t>104</w:t>
            </w:r>
          </w:p>
        </w:tc>
        <w:tc>
          <w:tcPr>
            <w:tcW w:type="dxa" w:w="1872"/>
          </w:tcPr>
          <w:p>
            <w:pPr>
              <w:spacing w:after="0" w:line="240" w:lineRule="auto"/>
            </w:pPr>
            <w:r/>
            <w:r>
              <w:rPr>
                <w:sz w:val="18"/>
              </w:rPr>
              <w:t>1.9</w:t>
            </w:r>
          </w:p>
        </w:tc>
      </w:tr>
    </w:tbl>
    <w:p>
      <w:pPr>
        <w:spacing w:after="40"/>
      </w:pPr>
    </w:p>
    <w:p>
      <w:pPr>
        <w:spacing w:after="40"/>
      </w:pPr>
      <w:r>
        <w:rPr>
          <w:i/>
          <w:sz w:val="16"/>
        </w:rPr>
        <w:t>Expected rate = (2 x 3.1 + 1 x 1.9) / 3. Arm-level rates come from the completed, unblinded trial only. If interval exposure were 10% lower (about 360 subject-years), the period rate would be about 3.9 and the conclusion would not change.</w:t>
      </w:r>
    </w:p>
    <w:p>
      <w:pPr>
        <w:keepNext/>
        <w:spacing w:before="120" w:after="60"/>
      </w:pPr>
      <w:commentRangeStart w:id="52"/>
      <w:r>
        <w:rPr>
          <w:b/>
          <w:color w:val="1F3864"/>
          <w:sz w:val="19"/>
        </w:rPr>
        <w:t>Figure 18-1. The period's rate sits modestly above the expected rate, and every interval is wide</w:t>
      </w:r>
      <w:commentRangeEnd w:id="52"/>
      <w:r>
        <w:rPr>
          <w:rStyle w:val="CommentReference"/>
        </w:rPr>
        <w:commentReference w:id="52"/>
      </w:r>
    </w:p>
    <w:p>
      <w:pPr>
        <w:keepNext/>
        <w:jc w:val="center"/>
      </w:pPr>
      <w:r>
        <w:drawing>
          <wp:inline xmlns:a="http://schemas.openxmlformats.org/drawingml/2006/main" xmlns:pic="http://schemas.openxmlformats.org/drawingml/2006/picture">
            <wp:extent cx="5669280" cy="2568892"/>
            <wp:docPr id="1" name="Picture 1" descr="Serious infection rates per 100 subject-years with exact 95% confidence intervals: period all arms 3.5 (1.9 to 5.9); XB-201 XB-7 3.1 (1.1 to 6.7); XB-201 placebo 1.9 (0.2 to 6.9); expected rate 2.7 shown as a dashed line."/>
            <wp:cNvGraphicFramePr>
              <a:graphicFrameLocks noChangeAspect="1"/>
            </wp:cNvGraphicFramePr>
            <a:graphic>
              <a:graphicData uri="http://schemas.openxmlformats.org/drawingml/2006/picture">
                <pic:pic>
                  <pic:nvPicPr>
                    <pic:cNvPr id="0" name="fig18-1.png"/>
                    <pic:cNvPicPr/>
                  </pic:nvPicPr>
                  <pic:blipFill>
                    <a:blip r:embed="rId12"/>
                    <a:stretch>
                      <a:fillRect/>
                    </a:stretch>
                  </pic:blipFill>
                  <pic:spPr>
                    <a:xfrm>
                      <a:off x="0" y="0"/>
                      <a:ext cx="5669280" cy="2568892"/>
                    </a:xfrm>
                    <a:prstGeom prst="rect"/>
                  </pic:spPr>
                </pic:pic>
              </a:graphicData>
            </a:graphic>
          </wp:inline>
        </w:drawing>
      </w:r>
    </w:p>
    <w:p>
      <w:pPr>
        <w:spacing w:after="40"/>
      </w:pPr>
      <w:r>
        <w:rPr>
          <w:i/>
          <w:sz w:val="16"/>
        </w:rPr>
        <w:t>Exact Poisson 95% confidence intervals: period 1.9 to 5.9; XB-201 XB-7 1.1 to 6.7; XB-201 placebo 0.2 to 6.9. SY, subject-years.</w:t>
      </w:r>
    </w:p>
    <w:p>
      <w:pPr>
        <w:pStyle w:val="Heading3"/>
      </w:pPr>
      <w:bookmarkStart w:id="1032" w:name="_Toc0033"/>
      <w:r>
        <w:t>Injection-site reactions (important identified risk)</w:t>
      </w:r>
      <w:bookmarkEnd w:id="1032"/>
    </w:p>
    <w:p>
      <w:commentRangeStart w:id="53"/>
      <w:r>
        <w:rPr>
          <w:i w:val="0"/>
        </w:rPr>
        <w:t>No serious injection-site reaction was reported during the period. Three subjects discontinued treatment because of a non-serious injection-site reaction (two in blinded XB-301 and one in XB-302). In the completed trial XB-201, injection-site reactions occurred in 14% of subjects receiving XB-7 and 4% receiving placebo, and none was serious. Injection-site reactions are therefore consistent in frequency and nature with previous experience (Section 19), and no change to their management is needed.</w:t>
      </w:r>
      <w:commentRangeEnd w:id="53"/>
      <w:r>
        <w:rPr>
          <w:rStyle w:val="CommentReference"/>
        </w:rPr>
        <w:commentReference w:id="53"/>
      </w:r>
    </w:p>
    <w:p>
      <w:pPr>
        <w:pStyle w:val="Heading3"/>
      </w:pPr>
      <w:bookmarkStart w:id="1033" w:name="_Toc0034"/>
      <w:r>
        <w:t>Other points considered</w:t>
      </w:r>
      <w:bookmarkEnd w:id="1033"/>
    </w:p>
    <w:p>
      <w:pPr>
        <w:keepNext/>
        <w:spacing w:before="120" w:after="60"/>
      </w:pPr>
      <w:commentRangeStart w:id="54"/>
      <w:r>
        <w:rPr>
          <w:b/>
          <w:color w:val="1F3864"/>
          <w:sz w:val="19"/>
        </w:rPr>
        <w:t>Table 18-2. Other points considered (E2F §3.18.1)</w:t>
      </w:r>
      <w:commentRangeEnd w:id="54"/>
      <w:r>
        <w:rPr>
          <w:rStyle w:val="CommentReference"/>
        </w:rPr>
        <w:commentReference w:id="54"/>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2088"/>
        <w:gridCol w:w="5256"/>
        <w:gridCol w:w="2015"/>
      </w:tblGrid>
      <w:tr>
        <w:trPr>
          <w:cantSplit w:val="true"/>
          <w:tblHeader w:val="true"/>
        </w:trPr>
        <w:tc>
          <w:tcPr>
            <w:tcW w:type="dxa" w:w="2088"/>
            <w:shd w:val="clear" w:color="auto" w:fill="E8EDF4"/>
          </w:tcPr>
          <w:p>
            <w:pPr>
              <w:spacing w:after="0" w:line="240" w:lineRule="auto"/>
            </w:pPr>
            <w:r/>
            <w:r>
              <w:rPr>
                <w:b/>
                <w:sz w:val="17"/>
              </w:rPr>
              <w:t>Point considered</w:t>
            </w:r>
          </w:p>
        </w:tc>
        <w:tc>
          <w:tcPr>
            <w:tcW w:type="dxa" w:w="5256"/>
            <w:shd w:val="clear" w:color="auto" w:fill="E8EDF4"/>
          </w:tcPr>
          <w:p>
            <w:pPr>
              <w:spacing w:after="0" w:line="240" w:lineRule="auto"/>
            </w:pPr>
            <w:r/>
            <w:r>
              <w:rPr>
                <w:b/>
                <w:sz w:val="17"/>
              </w:rPr>
              <w:t>What the data show</w:t>
            </w:r>
          </w:p>
        </w:tc>
        <w:tc>
          <w:tcPr>
            <w:tcW w:type="dxa" w:w="2016"/>
            <w:shd w:val="clear" w:color="auto" w:fill="E8EDF4"/>
          </w:tcPr>
          <w:p>
            <w:pPr>
              <w:spacing w:after="0" w:line="240" w:lineRule="auto"/>
            </w:pPr>
            <w:r/>
            <w:r>
              <w:rPr>
                <w:b/>
                <w:sz w:val="17"/>
              </w:rPr>
              <w:t>Conclusion</w:t>
            </w:r>
          </w:p>
        </w:tc>
      </w:tr>
      <w:tr>
        <w:trPr>
          <w:cantSplit w:val="true"/>
        </w:trPr>
        <w:tc>
          <w:tcPr>
            <w:tcW w:type="dxa" w:w="2088"/>
          </w:tcPr>
          <w:p>
            <w:pPr>
              <w:spacing w:after="0" w:line="240" w:lineRule="auto"/>
            </w:pPr>
            <w:r/>
            <w:r>
              <w:rPr>
                <w:sz w:val="17"/>
              </w:rPr>
              <w:t>Deaths</w:t>
            </w:r>
          </w:p>
        </w:tc>
        <w:tc>
          <w:tcPr>
            <w:tcW w:type="dxa" w:w="5256"/>
          </w:tcPr>
          <w:p>
            <w:pPr>
              <w:spacing w:after="0" w:line="240" w:lineRule="auto"/>
            </w:pPr>
            <w:r/>
            <w:r>
              <w:rPr>
                <w:sz w:val="17"/>
              </w:rPr>
              <w:t>Two in the period: myocardial infarction in a 71-year-old subject in XB-302 with three cardiovascular risk factors; road traffic accident in XB-301 (blinded). Both assessed as unrelated</w:t>
            </w:r>
          </w:p>
        </w:tc>
        <w:tc>
          <w:tcPr>
            <w:tcW w:type="dxa" w:w="2016"/>
          </w:tcPr>
          <w:p>
            <w:pPr>
              <w:spacing w:after="0" w:line="240" w:lineRule="auto"/>
            </w:pPr>
            <w:r/>
            <w:r>
              <w:rPr>
                <w:sz w:val="17"/>
              </w:rPr>
              <w:t>No new risk</w:t>
            </w:r>
          </w:p>
        </w:tc>
      </w:tr>
      <w:tr>
        <w:trPr>
          <w:cantSplit w:val="true"/>
        </w:trPr>
        <w:tc>
          <w:tcPr>
            <w:tcW w:type="dxa" w:w="2088"/>
          </w:tcPr>
          <w:p>
            <w:pPr>
              <w:spacing w:after="0" w:line="240" w:lineRule="auto"/>
            </w:pPr>
            <w:r/>
            <w:r>
              <w:rPr>
                <w:sz w:val="17"/>
              </w:rPr>
              <w:t>Discontinuations for adverse events</w:t>
            </w:r>
          </w:p>
        </w:tc>
        <w:tc>
          <w:tcPr>
            <w:tcW w:type="dxa" w:w="5256"/>
          </w:tcPr>
          <w:p>
            <w:pPr>
              <w:spacing w:after="0" w:line="240" w:lineRule="auto"/>
            </w:pPr>
            <w:r/>
            <w:r>
              <w:rPr>
                <w:sz w:val="17"/>
              </w:rPr>
              <w:t>11 in XB-301 (blinded) and 4 in XB-302 (serious infection 2, injection-site reaction 1, rash 1); similar to the previous period</w:t>
            </w:r>
          </w:p>
        </w:tc>
        <w:tc>
          <w:tcPr>
            <w:tcW w:type="dxa" w:w="2016"/>
          </w:tcPr>
          <w:p>
            <w:pPr>
              <w:spacing w:after="0" w:line="240" w:lineRule="auto"/>
            </w:pPr>
            <w:r/>
            <w:r>
              <w:rPr>
                <w:sz w:val="17"/>
              </w:rPr>
              <w:t>No change</w:t>
            </w:r>
          </w:p>
        </w:tc>
      </w:tr>
      <w:tr>
        <w:trPr>
          <w:cantSplit w:val="true"/>
        </w:trPr>
        <w:tc>
          <w:tcPr>
            <w:tcW w:type="dxa" w:w="2088"/>
          </w:tcPr>
          <w:p>
            <w:pPr>
              <w:spacing w:after="0" w:line="240" w:lineRule="auto"/>
            </w:pPr>
            <w:r/>
            <w:r>
              <w:rPr>
                <w:sz w:val="17"/>
              </w:rPr>
              <w:t>Older subjects</w:t>
            </w:r>
          </w:p>
        </w:tc>
        <w:tc>
          <w:tcPr>
            <w:tcW w:type="dxa" w:w="5256"/>
          </w:tcPr>
          <w:p>
            <w:pPr>
              <w:spacing w:after="0" w:line="240" w:lineRule="auto"/>
            </w:pPr>
            <w:r/>
            <w:r>
              <w:rPr>
                <w:sz w:val="17"/>
              </w:rPr>
              <w:t>Serious infections more frequent over 75, especially with corticosteroids (above)</w:t>
            </w:r>
          </w:p>
        </w:tc>
        <w:tc>
          <w:tcPr>
            <w:tcW w:type="dxa" w:w="2016"/>
          </w:tcPr>
          <w:p>
            <w:pPr>
              <w:spacing w:after="0" w:line="240" w:lineRule="auto"/>
            </w:pPr>
            <w:r/>
            <w:r>
              <w:rPr>
                <w:sz w:val="17"/>
              </w:rPr>
              <w:t>Addressed by the DMC-recommended monitoring</w:t>
            </w:r>
          </w:p>
        </w:tc>
      </w:tr>
      <w:tr>
        <w:trPr>
          <w:cantSplit w:val="true"/>
        </w:trPr>
        <w:tc>
          <w:tcPr>
            <w:tcW w:type="dxa" w:w="2088"/>
          </w:tcPr>
          <w:p>
            <w:pPr>
              <w:spacing w:after="0" w:line="240" w:lineRule="auto"/>
            </w:pPr>
            <w:r/>
            <w:r>
              <w:rPr>
                <w:sz w:val="17"/>
              </w:rPr>
              <w:t>Pregnancy</w:t>
            </w:r>
          </w:p>
        </w:tc>
        <w:tc>
          <w:tcPr>
            <w:tcW w:type="dxa" w:w="5256"/>
          </w:tcPr>
          <w:p>
            <w:pPr>
              <w:spacing w:after="0" w:line="240" w:lineRule="auto"/>
            </w:pPr>
            <w:r/>
            <w:r>
              <w:rPr>
                <w:sz w:val="17"/>
              </w:rPr>
              <w:t>One exposed pregnancy in XB-302; outcome pending</w:t>
            </w:r>
          </w:p>
        </w:tc>
        <w:tc>
          <w:tcPr>
            <w:tcW w:type="dxa" w:w="2016"/>
          </w:tcPr>
          <w:p>
            <w:pPr>
              <w:spacing w:after="0" w:line="240" w:lineRule="auto"/>
            </w:pPr>
            <w:r/>
            <w:r>
              <w:rPr>
                <w:sz w:val="17"/>
              </w:rPr>
              <w:t>Follow-up continues</w:t>
            </w:r>
          </w:p>
        </w:tc>
      </w:tr>
      <w:tr>
        <w:trPr>
          <w:cantSplit w:val="true"/>
        </w:trPr>
        <w:tc>
          <w:tcPr>
            <w:tcW w:type="dxa" w:w="2088"/>
          </w:tcPr>
          <w:p>
            <w:pPr>
              <w:spacing w:after="0" w:line="240" w:lineRule="auto"/>
            </w:pPr>
            <w:r/>
            <w:r>
              <w:rPr>
                <w:sz w:val="17"/>
              </w:rPr>
              <w:t>Hepatic or renal impairment</w:t>
            </w:r>
          </w:p>
        </w:tc>
        <w:tc>
          <w:tcPr>
            <w:tcW w:type="dxa" w:w="5256"/>
          </w:tcPr>
          <w:p>
            <w:pPr>
              <w:spacing w:after="0" w:line="240" w:lineRule="auto"/>
            </w:pPr>
            <w:r/>
            <w:r>
              <w:rPr>
                <w:sz w:val="17"/>
              </w:rPr>
              <w:t>No data; excluded from the trials</w:t>
            </w:r>
          </w:p>
        </w:tc>
        <w:tc>
          <w:tcPr>
            <w:tcW w:type="dxa" w:w="2016"/>
          </w:tcPr>
          <w:p>
            <w:pPr>
              <w:spacing w:after="0" w:line="240" w:lineRule="auto"/>
            </w:pPr>
            <w:r/>
            <w:r>
              <w:rPr>
                <w:sz w:val="17"/>
              </w:rPr>
              <w:t>No conclusion possible</w:t>
            </w:r>
          </w:p>
        </w:tc>
      </w:tr>
      <w:tr>
        <w:trPr>
          <w:cantSplit w:val="true"/>
        </w:trPr>
        <w:tc>
          <w:tcPr>
            <w:tcW w:type="dxa" w:w="2088"/>
          </w:tcPr>
          <w:p>
            <w:pPr>
              <w:spacing w:after="0" w:line="240" w:lineRule="auto"/>
            </w:pPr>
            <w:r/>
            <w:r>
              <w:rPr>
                <w:sz w:val="17"/>
              </w:rPr>
              <w:t>Medication errors, overdose, misuse</w:t>
            </w:r>
          </w:p>
        </w:tc>
        <w:tc>
          <w:tcPr>
            <w:tcW w:type="dxa" w:w="5256"/>
          </w:tcPr>
          <w:p>
            <w:pPr>
              <w:spacing w:after="0" w:line="240" w:lineRule="auto"/>
            </w:pPr>
            <w:r/>
            <w:r>
              <w:rPr>
                <w:sz w:val="17"/>
              </w:rPr>
              <w:t>Three dosing-interval errors, none with harm; no overdose; abuse not applicable to this product</w:t>
            </w:r>
          </w:p>
        </w:tc>
        <w:tc>
          <w:tcPr>
            <w:tcW w:type="dxa" w:w="2016"/>
          </w:tcPr>
          <w:p>
            <w:pPr>
              <w:spacing w:after="0" w:line="240" w:lineRule="auto"/>
            </w:pPr>
            <w:r/>
            <w:r>
              <w:rPr>
                <w:sz w:val="17"/>
              </w:rPr>
              <w:t>No new risk</w:t>
            </w:r>
          </w:p>
        </w:tc>
      </w:tr>
      <w:tr>
        <w:trPr>
          <w:cantSplit w:val="true"/>
        </w:trPr>
        <w:tc>
          <w:tcPr>
            <w:tcW w:type="dxa" w:w="2088"/>
          </w:tcPr>
          <w:p>
            <w:pPr>
              <w:spacing w:after="0" w:line="240" w:lineRule="auto"/>
            </w:pPr>
            <w:r/>
            <w:r>
              <w:rPr>
                <w:sz w:val="17"/>
              </w:rPr>
              <w:t>Interactions</w:t>
            </w:r>
          </w:p>
        </w:tc>
        <w:tc>
          <w:tcPr>
            <w:tcW w:type="dxa" w:w="5256"/>
          </w:tcPr>
          <w:p>
            <w:pPr>
              <w:spacing w:after="0" w:line="240" w:lineRule="auto"/>
            </w:pPr>
            <w:r/>
            <w:r>
              <w:rPr>
                <w:sz w:val="17"/>
              </w:rPr>
              <w:t>No new information</w:t>
            </w:r>
          </w:p>
        </w:tc>
        <w:tc>
          <w:tcPr>
            <w:tcW w:type="dxa" w:w="2016"/>
          </w:tcPr>
          <w:p>
            <w:pPr>
              <w:spacing w:after="0" w:line="240" w:lineRule="auto"/>
            </w:pPr>
            <w:r/>
            <w:r>
              <w:rPr>
                <w:sz w:val="17"/>
              </w:rPr>
              <w:t>No change</w:t>
            </w:r>
          </w:p>
        </w:tc>
      </w:tr>
      <w:tr>
        <w:trPr>
          <w:cantSplit w:val="true"/>
        </w:trPr>
        <w:tc>
          <w:tcPr>
            <w:tcW w:type="dxa" w:w="2088"/>
          </w:tcPr>
          <w:p>
            <w:pPr>
              <w:spacing w:after="0" w:line="240" w:lineRule="auto"/>
            </w:pPr>
            <w:r/>
            <w:r>
              <w:rPr>
                <w:sz w:val="17"/>
              </w:rPr>
              <w:t>Class effects</w:t>
            </w:r>
          </w:p>
        </w:tc>
        <w:tc>
          <w:tcPr>
            <w:tcW w:type="dxa" w:w="5256"/>
          </w:tcPr>
          <w:p>
            <w:pPr>
              <w:spacing w:after="0" w:line="240" w:lineRule="auto"/>
            </w:pPr>
            <w:r/>
            <w:r>
              <w:rPr>
                <w:sz w:val="17"/>
              </w:rPr>
              <w:t>Literature search found no new safety finding for drugs of the same class (Section 13)</w:t>
            </w:r>
          </w:p>
        </w:tc>
        <w:tc>
          <w:tcPr>
            <w:tcW w:type="dxa" w:w="2016"/>
          </w:tcPr>
          <w:p>
            <w:pPr>
              <w:spacing w:after="0" w:line="240" w:lineRule="auto"/>
            </w:pPr>
            <w:r/>
            <w:r>
              <w:rPr>
                <w:sz w:val="17"/>
              </w:rPr>
              <w:t>No change</w:t>
            </w:r>
          </w:p>
        </w:tc>
      </w:tr>
      <w:tr>
        <w:trPr>
          <w:cantSplit w:val="true"/>
        </w:trPr>
        <w:tc>
          <w:tcPr>
            <w:tcW w:type="dxa" w:w="2088"/>
          </w:tcPr>
          <w:p>
            <w:pPr>
              <w:spacing w:after="0" w:line="240" w:lineRule="auto"/>
            </w:pPr>
            <w:r/>
            <w:r>
              <w:rPr>
                <w:sz w:val="17"/>
              </w:rPr>
              <w:t>Nonclinical</w:t>
            </w:r>
          </w:p>
        </w:tc>
        <w:tc>
          <w:tcPr>
            <w:tcW w:type="dxa" w:w="5256"/>
          </w:tcPr>
          <w:p>
            <w:pPr>
              <w:spacing w:after="0" w:line="240" w:lineRule="auto"/>
            </w:pPr>
            <w:r/>
            <w:r>
              <w:rPr>
                <w:sz w:val="17"/>
              </w:rPr>
              <w:t>No new studies completed in the period (Section 12)</w:t>
            </w:r>
          </w:p>
        </w:tc>
        <w:tc>
          <w:tcPr>
            <w:tcW w:type="dxa" w:w="2016"/>
          </w:tcPr>
          <w:p>
            <w:pPr>
              <w:spacing w:after="0" w:line="240" w:lineRule="auto"/>
            </w:pPr>
            <w:r/>
            <w:r>
              <w:rPr>
                <w:sz w:val="17"/>
              </w:rPr>
              <w:t>No change</w:t>
            </w:r>
          </w:p>
        </w:tc>
      </w:tr>
      <w:tr>
        <w:trPr>
          <w:cantSplit w:val="true"/>
        </w:trPr>
        <w:tc>
          <w:tcPr>
            <w:tcW w:type="dxa" w:w="2088"/>
          </w:tcPr>
          <w:p>
            <w:pPr>
              <w:spacing w:after="0" w:line="240" w:lineRule="auto"/>
            </w:pPr>
            <w:r/>
            <w:r>
              <w:rPr>
                <w:sz w:val="17"/>
              </w:rPr>
              <w:t>Hypersensitivity</w:t>
            </w:r>
          </w:p>
        </w:tc>
        <w:tc>
          <w:tcPr>
            <w:tcW w:type="dxa" w:w="5256"/>
          </w:tcPr>
          <w:p>
            <w:pPr>
              <w:spacing w:after="0" w:line="240" w:lineRule="auto"/>
            </w:pPr>
            <w:r/>
            <w:r>
              <w:rPr>
                <w:sz w:val="17"/>
              </w:rPr>
              <w:t>One serious case with XB-7 in XB-201 (0.5 per 100 subject-years), resolved with treatment; none with placebo; reported for the first time in this DSUR because XB-201 completed in the period</w:t>
            </w:r>
          </w:p>
        </w:tc>
        <w:tc>
          <w:tcPr>
            <w:tcW w:type="dxa" w:w="2016"/>
          </w:tcPr>
          <w:p>
            <w:pPr>
              <w:spacing w:after="0" w:line="240" w:lineRule="auto"/>
            </w:pPr>
            <w:r/>
            <w:r>
              <w:rPr>
                <w:sz w:val="17"/>
              </w:rPr>
              <w:t>Monitored; not an important risk at present</w:t>
            </w:r>
          </w:p>
        </w:tc>
      </w:tr>
    </w:tbl>
    <w:p>
      <w:pPr>
        <w:spacing w:after="40"/>
      </w:pPr>
    </w:p>
    <w:p>
      <w:commentRangeStart w:id="55"/>
      <w:r>
        <w:rPr>
          <w:i w:val="0"/>
        </w:rPr>
        <w:t>Taking these points with the evaluation of serious infections and injection-site reactions above, no new safety concern was identified during the reporting period.</w:t>
      </w:r>
      <w:commentRangeEnd w:id="55"/>
      <w:r>
        <w:rPr>
          <w:rStyle w:val="CommentReference"/>
        </w:rPr>
        <w:commentReference w:id="55"/>
      </w:r>
    </w:p>
    <w:p>
      <w:pPr>
        <w:pStyle w:val="Heading2"/>
      </w:pPr>
      <w:bookmarkStart w:id="1034" w:name="_Toc0035"/>
      <w:r>
        <w:t>18.2 Benefit-risk Considerations</w:t>
      </w:r>
      <w:bookmarkEnd w:id="1034"/>
    </w:p>
    <w:p>
      <w:commentRangeStart w:id="56"/>
      <w:r>
        <w:rPr>
          <w:i w:val="0"/>
        </w:rPr>
        <w:t>Data from the completed placebo-controlled trial XB-201 support the anticipated benefit: reduced disease activity at week 24 compared with placebo. The important risks remain serious infections and injection-site reactions; no new important risk emerged this period. These risks are managed through eligibility criteria, infection monitoring, DMC review and, following the DMC's recommendation, closer monitoring of older subjects and those on corticosteroids. The balance for trial subjects is unchanged since the previous DSUR and supports continued development.</w:t>
      </w:r>
      <w:commentRangeEnd w:id="56"/>
      <w:r>
        <w:rPr>
          <w:rStyle w:val="CommentReference"/>
        </w:rPr>
        <w:commentReference w:id="56"/>
      </w:r>
    </w:p>
    <w:p>
      <w:pPr>
        <w:pStyle w:val="Heading1"/>
      </w:pPr>
      <w:commentRangeStart w:id="57"/>
      <w:bookmarkStart w:id="1035" w:name="_Toc0036"/>
      <w:r>
        <w:t>19. Summary of Important Risks</w:t>
      </w:r>
      <w:bookmarkEnd w:id="1035"/>
      <w:commentRangeEnd w:id="57"/>
      <w:r>
        <w:rPr>
          <w:rStyle w:val="CommentReference"/>
        </w:rPr>
        <w:commentReference w:id="57"/>
      </w:r>
    </w:p>
    <w:p>
      <w:r>
        <w:rPr>
          <w:i w:val="0"/>
        </w:rPr>
        <w:t>The important identified and potential risks of XB-7 are summarized below. Each was re-evaluated for this report; new information in the period is marked with an asterisk (*).</w:t>
      </w:r>
    </w:p>
    <w:p>
      <w:pPr>
        <w:keepNext/>
        <w:spacing w:before="120" w:after="60"/>
      </w:pPr>
      <w:commentRangeStart w:id="58"/>
      <w:r>
        <w:rPr>
          <w:b/>
          <w:color w:val="1F3864"/>
          <w:sz w:val="19"/>
        </w:rPr>
        <w:t>Table 19-1. Important risks of XB-7 (cumulative; new this period marked *)</w:t>
      </w:r>
      <w:commentRangeEnd w:id="58"/>
      <w:r>
        <w:rPr>
          <w:rStyle w:val="CommentReference"/>
        </w:rPr>
        <w:commentReference w:id="58"/>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1800"/>
        <w:gridCol w:w="1944"/>
        <w:gridCol w:w="3024"/>
        <w:gridCol w:w="2592"/>
      </w:tblGrid>
      <w:tr>
        <w:trPr>
          <w:cantSplit w:val="true"/>
          <w:tblHeader w:val="true"/>
        </w:trPr>
        <w:tc>
          <w:tcPr>
            <w:tcW w:type="dxa" w:w="1800"/>
            <w:shd w:val="clear" w:color="auto" w:fill="E8EDF4"/>
          </w:tcPr>
          <w:p>
            <w:pPr>
              <w:spacing w:after="0" w:line="240" w:lineRule="auto"/>
            </w:pPr>
            <w:r/>
            <w:r>
              <w:rPr>
                <w:b/>
                <w:sz w:val="17"/>
              </w:rPr>
              <w:t>Risk (status)</w:t>
            </w:r>
          </w:p>
        </w:tc>
        <w:tc>
          <w:tcPr>
            <w:tcW w:type="dxa" w:w="1944"/>
            <w:shd w:val="clear" w:color="auto" w:fill="E8EDF4"/>
          </w:tcPr>
          <w:p>
            <w:pPr>
              <w:spacing w:after="0" w:line="240" w:lineRule="auto"/>
            </w:pPr>
            <w:r/>
            <w:r>
              <w:rPr>
                <w:b/>
                <w:sz w:val="17"/>
              </w:rPr>
              <w:t>Nonclinical data</w:t>
            </w:r>
          </w:p>
        </w:tc>
        <w:tc>
          <w:tcPr>
            <w:tcW w:type="dxa" w:w="3024"/>
            <w:shd w:val="clear" w:color="auto" w:fill="E8EDF4"/>
          </w:tcPr>
          <w:p>
            <w:pPr>
              <w:spacing w:after="0" w:line="240" w:lineRule="auto"/>
            </w:pPr>
            <w:r/>
            <w:r>
              <w:rPr>
                <w:b/>
                <w:sz w:val="17"/>
              </w:rPr>
              <w:t>Clinical data (cumulative; new this period marked *)</w:t>
            </w:r>
          </w:p>
        </w:tc>
        <w:tc>
          <w:tcPr>
            <w:tcW w:type="dxa" w:w="2592"/>
            <w:shd w:val="clear" w:color="auto" w:fill="E8EDF4"/>
          </w:tcPr>
          <w:p>
            <w:pPr>
              <w:spacing w:after="0" w:line="240" w:lineRule="auto"/>
            </w:pPr>
            <w:r/>
            <w:r>
              <w:rPr>
                <w:b/>
                <w:sz w:val="17"/>
              </w:rPr>
              <w:t>Measures in the trials</w:t>
            </w:r>
          </w:p>
        </w:tc>
      </w:tr>
      <w:tr>
        <w:trPr>
          <w:cantSplit w:val="true"/>
        </w:trPr>
        <w:tc>
          <w:tcPr>
            <w:tcW w:type="dxa" w:w="1800"/>
          </w:tcPr>
          <w:p>
            <w:pPr>
              <w:spacing w:after="0" w:line="240" w:lineRule="auto"/>
            </w:pPr>
            <w:r/>
            <w:r>
              <w:rPr>
                <w:sz w:val="17"/>
              </w:rPr>
              <w:t>Serious infections (important identified)*</w:t>
            </w:r>
          </w:p>
        </w:tc>
        <w:tc>
          <w:tcPr>
            <w:tcW w:type="dxa" w:w="1944"/>
          </w:tcPr>
          <w:p>
            <w:pPr>
              <w:spacing w:after="0" w:line="240" w:lineRule="auto"/>
            </w:pPr>
            <w:r/>
            <w:r>
              <w:rPr>
                <w:sz w:val="17"/>
              </w:rPr>
              <w:t>Reduced bacterial clearance in a murine model at exposures above the clinical dose</w:t>
            </w:r>
          </w:p>
        </w:tc>
        <w:tc>
          <w:tcPr>
            <w:tcW w:type="dxa" w:w="3024"/>
          </w:tcPr>
          <w:p>
            <w:pPr>
              <w:spacing w:after="0" w:line="240" w:lineRule="auto"/>
            </w:pPr>
            <w:r/>
            <w:r>
              <w:rPr>
                <w:sz w:val="17"/>
              </w:rPr>
              <w:t>XB-201: 3.1 vs 1.9 per 100 subject-years (XB-7 vs placebo). Period: 14 events among about 400 subject-years across all arms, including two sepsis cases on XB-7.* Risk higher over 75 years and with corticosteroids</w:t>
            </w:r>
          </w:p>
        </w:tc>
        <w:tc>
          <w:tcPr>
            <w:tcW w:type="dxa" w:w="2592"/>
          </w:tcPr>
          <w:p>
            <w:pPr>
              <w:spacing w:after="0" w:line="240" w:lineRule="auto"/>
            </w:pPr>
            <w:r/>
            <w:r>
              <w:rPr>
                <w:sz w:val="17"/>
              </w:rPr>
              <w:t>Exclusion of active or chronic infections; screening for tuberculosis; infection assessment at each visit for subjects over 75 or on corticosteroids (amendment in preparation); IB and consent updated to include sepsis</w:t>
            </w:r>
          </w:p>
        </w:tc>
      </w:tr>
      <w:tr>
        <w:trPr>
          <w:cantSplit w:val="true"/>
        </w:trPr>
        <w:tc>
          <w:tcPr>
            <w:tcW w:type="dxa" w:w="1800"/>
          </w:tcPr>
          <w:p>
            <w:pPr>
              <w:spacing w:after="0" w:line="240" w:lineRule="auto"/>
            </w:pPr>
            <w:r/>
            <w:r>
              <w:rPr>
                <w:sz w:val="17"/>
              </w:rPr>
              <w:t>Injection-site reactions (important identified)</w:t>
            </w:r>
          </w:p>
        </w:tc>
        <w:tc>
          <w:tcPr>
            <w:tcW w:type="dxa" w:w="1944"/>
          </w:tcPr>
          <w:p>
            <w:pPr>
              <w:spacing w:after="0" w:line="240" w:lineRule="auto"/>
            </w:pPr>
            <w:r/>
            <w:r>
              <w:rPr>
                <w:sz w:val="17"/>
              </w:rPr>
              <w:t>Minimal, reversible inflammation at injection sites in repeat-dose toxicity studies</w:t>
            </w:r>
          </w:p>
        </w:tc>
        <w:tc>
          <w:tcPr>
            <w:tcW w:type="dxa" w:w="3024"/>
          </w:tcPr>
          <w:p>
            <w:pPr>
              <w:spacing w:after="0" w:line="240" w:lineRule="auto"/>
            </w:pPr>
            <w:r/>
            <w:r>
              <w:rPr>
                <w:sz w:val="17"/>
              </w:rPr>
              <w:t>XB-201: 14% vs 4% (XB-7 vs placebo); none serious. Period: no serious injection-site reaction; 3 discontinuations (XB-301 2, blinded; XB-302 1)</w:t>
            </w:r>
          </w:p>
        </w:tc>
        <w:tc>
          <w:tcPr>
            <w:tcW w:type="dxa" w:w="2592"/>
          </w:tcPr>
          <w:p>
            <w:pPr>
              <w:spacing w:after="0" w:line="240" w:lineRule="auto"/>
            </w:pPr>
            <w:r/>
            <w:r>
              <w:rPr>
                <w:sz w:val="17"/>
              </w:rPr>
              <w:t>Injection-site assessment at each dosing visit; rotation of injection sites as specified in the protocols; IB and consent forms describe the reactions</w:t>
            </w:r>
          </w:p>
        </w:tc>
      </w:tr>
    </w:tbl>
    <w:p>
      <w:pPr>
        <w:spacing w:after="40"/>
      </w:pPr>
    </w:p>
    <w:p>
      <w:commentRangeStart w:id="59"/>
      <w:r>
        <w:rPr>
          <w:i w:val="0"/>
        </w:rPr>
        <w:t>Sepsis is not listed as a separate risk. It is the severe end of the same risk, with the same mechanism, risk factors and protective measures, and it is named within the serious infections entry so that a reader looking for it will find it. Hypersensitivity was considered: one serious case with XB-7 in XB-201 (Section 18.1) does not meet the test for an important risk at present, and it remains under routine monitoring.</w:t>
      </w:r>
      <w:commentRangeEnd w:id="59"/>
      <w:r>
        <w:rPr>
          <w:rStyle w:val="CommentReference"/>
        </w:rPr>
        <w:commentReference w:id="59"/>
      </w:r>
    </w:p>
    <w:p>
      <w:commentRangeStart w:id="60"/>
      <w:r>
        <w:rPr>
          <w:i w:val="0"/>
        </w:rPr>
        <w:t>No risk was added, reclassified, resolved or removed during the period. The risks in this section match those in IB Edition 6, the XB-301 and XB-302 protocols and the current consent forms.</w:t>
      </w:r>
      <w:commentRangeEnd w:id="60"/>
      <w:r>
        <w:rPr>
          <w:rStyle w:val="CommentReference"/>
        </w:rPr>
        <w:commentReference w:id="60"/>
      </w:r>
    </w:p>
    <w:p>
      <w:pPr>
        <w:pStyle w:val="Heading1"/>
      </w:pPr>
      <w:commentRangeStart w:id="61"/>
      <w:bookmarkStart w:id="1036" w:name="_Toc0037"/>
      <w:r>
        <w:t>20. Conclusions</w:t>
      </w:r>
      <w:bookmarkEnd w:id="1036"/>
      <w:commentRangeEnd w:id="61"/>
      <w:r>
        <w:rPr>
          <w:rStyle w:val="CommentReference"/>
        </w:rPr>
        <w:commentReference w:id="61"/>
      </w:r>
    </w:p>
    <w:p>
      <w:commentRangeStart w:id="62"/>
      <w:r>
        <w:rPr>
          <w:b/>
        </w:rPr>
        <w:t xml:space="preserve">Changes in knowledge. </w:t>
      </w:r>
      <w:r>
        <w:rPr>
          <w:i w:val="0"/>
        </w:rPr>
        <w:t>The completed Phase 2 trial XB-201 met its primary efficacy endpoint and confirmed the known safety profile of XB-7. Sepsis is now recognized within the important identified risk of serious infections and has been added to the reference safety information. Serious infections in the period were modestly above the expected rate and concentrated in older subjects and those on corticosteroids; no new type of infection and no new important risk was identified (Sections 18.1 and 19). The benefit-risk balance for trial subjects is unchanged (Section 18.2).</w:t>
      </w:r>
      <w:commentRangeEnd w:id="62"/>
      <w:r>
        <w:rPr>
          <w:rStyle w:val="CommentReference"/>
        </w:rPr>
        <w:commentReference w:id="62"/>
      </w:r>
    </w:p>
    <w:p>
      <w:commentRangeStart w:id="63"/>
      <w:r>
        <w:rPr>
          <w:b/>
        </w:rPr>
        <w:t xml:space="preserve">Commitment from the previous DSUR. </w:t>
      </w:r>
      <w:r>
        <w:rPr>
          <w:i w:val="0"/>
        </w:rPr>
        <w:t>The previous DSUR committed to evaluate serious infections by age and corticosteroid use once XB-201 was complete. This has been done (Section 18.1).</w:t>
      </w:r>
      <w:commentRangeEnd w:id="63"/>
      <w:r>
        <w:rPr>
          <w:rStyle w:val="CommentReference"/>
        </w:rPr>
        <w:commentReference w:id="63"/>
      </w:r>
    </w:p>
    <w:p>
      <w:r>
        <w:rPr>
          <w:b/>
        </w:rPr>
        <w:t xml:space="preserve">Actions taken in the period. </w:t>
      </w:r>
      <w:r>
        <w:rPr>
          <w:i w:val="0"/>
        </w:rPr>
        <w:t>IB Edition 6 added sepsis as an expected serious adverse reaction (Section 4), and the consent forms for XB-301 and XB-302 were revised and subjects reconsented (Section 3).</w:t>
      </w:r>
    </w:p>
    <w:p>
      <w:commentRangeStart w:id="64"/>
      <w:r>
        <w:rPr>
          <w:b/>
        </w:rPr>
        <w:t xml:space="preserve">Planned actions. </w:t>
      </w:r>
      <w:r>
        <w:rPr>
          <w:i w:val="0"/>
        </w:rPr>
        <w:t>The sponsor has accepted the DMC's recommendation to add infection assessment at each visit for subjects over 75 years or receiving corticosteroids; a protocol amendment is in preparation (Sections 17 and 18.1). No other changes to the development program are required.</w:t>
      </w:r>
      <w:commentRangeEnd w:id="64"/>
      <w:r>
        <w:rPr>
          <w:rStyle w:val="CommentReference"/>
        </w:rPr>
        <w:commentReference w:id="64"/>
      </w:r>
    </w:p>
    <w:p>
      <w:commentRangeStart w:id="65"/>
      <w:r>
        <w:rPr>
          <w:i w:val="0"/>
        </w:rPr>
        <w:t>The amendment to the XB-301 protocol is expected to be approved in the fourth quarter of 2026; its implementation will be reported in the next DSUR. The outcome of the exposed pregnancy in XB-302 will also be reported in the next DSUR.</w:t>
      </w:r>
      <w:commentRangeEnd w:id="65"/>
      <w:r>
        <w:rPr>
          <w:rStyle w:val="CommentReference"/>
        </w:rPr>
        <w:commentReference w:id="65"/>
      </w:r>
    </w:p>
    <w:p>
      <w:r>
        <w:br w:type="page"/>
      </w:r>
    </w:p>
    <w:p>
      <w:pPr>
        <w:pStyle w:val="Heading1"/>
      </w:pPr>
      <w:commentRangeStart w:id="66"/>
      <w:bookmarkStart w:id="1037" w:name="_Toc0038"/>
      <w:r>
        <w:t>Appendices</w:t>
      </w:r>
      <w:bookmarkEnd w:id="1037"/>
      <w:commentRangeEnd w:id="66"/>
      <w:r>
        <w:rPr>
          <w:rStyle w:val="CommentReference"/>
        </w:rPr>
        <w:commentReference w:id="66"/>
      </w:r>
    </w:p>
    <w:p>
      <w:pPr>
        <w:pStyle w:val="Heading2"/>
      </w:pPr>
      <w:bookmarkStart w:id="1038" w:name="_Toc0039"/>
      <w:r>
        <w:t>Appendix 1. Investigator's Brochure</w:t>
      </w:r>
      <w:bookmarkEnd w:id="1038"/>
    </w:p>
    <w:p>
      <w:commentRangeStart w:id="67"/>
      <w:r>
        <w:rPr>
          <w:i w:val="0"/>
        </w:rPr>
        <w:t>IB Edition 6 (March 2026) was revised during the period and has been submitted to the concerned authorities; it is not attached. The reference safety information of IB Edition 5, in effect at the start of the period and used for this report, is reproduced in Regional Appendix R5.</w:t>
      </w:r>
      <w:commentRangeEnd w:id="67"/>
      <w:r>
        <w:rPr>
          <w:rStyle w:val="CommentReference"/>
        </w:rPr>
        <w:commentReference w:id="67"/>
      </w:r>
    </w:p>
    <w:p>
      <w:pPr>
        <w:pStyle w:val="Heading2"/>
      </w:pPr>
      <w:bookmarkStart w:id="1039" w:name="_Toc0040"/>
      <w:r>
        <w:t>Appendix 2. Cumulative Table of Important Regulatory Requests</w:t>
      </w:r>
      <w:bookmarkEnd w:id="1039"/>
    </w:p>
    <w:p>
      <w:pPr>
        <w:keepNext/>
        <w:spacing w:before="120" w:after="60"/>
      </w:pPr>
      <w:commentRangeStart w:id="68"/>
      <w:r>
        <w:rPr>
          <w:b/>
          <w:color w:val="1F3864"/>
          <w:sz w:val="19"/>
        </w:rPr>
        <w:t>Table A2-1. Regulatory requests that limit current or future development (cumulative since the DIBD)</w:t>
      </w:r>
      <w:commentRangeEnd w:id="68"/>
      <w:r>
        <w:rPr>
          <w:rStyle w:val="CommentReference"/>
        </w:rPr>
        <w:commentReference w:id="68"/>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1440"/>
        <w:gridCol w:w="1440"/>
        <w:gridCol w:w="3024"/>
        <w:gridCol w:w="1440"/>
        <w:gridCol w:w="2015"/>
      </w:tblGrid>
      <w:tr>
        <w:trPr>
          <w:cantSplit w:val="true"/>
          <w:tblHeader w:val="true"/>
        </w:trPr>
        <w:tc>
          <w:tcPr>
            <w:tcW w:type="dxa" w:w="1440"/>
            <w:shd w:val="clear" w:color="auto" w:fill="E8EDF4"/>
          </w:tcPr>
          <w:p>
            <w:pPr>
              <w:spacing w:after="0" w:line="240" w:lineRule="auto"/>
            </w:pPr>
            <w:r/>
            <w:r>
              <w:rPr>
                <w:b/>
                <w:sz w:val="17"/>
              </w:rPr>
              <w:t>Date</w:t>
            </w:r>
          </w:p>
        </w:tc>
        <w:tc>
          <w:tcPr>
            <w:tcW w:type="dxa" w:w="1440"/>
            <w:shd w:val="clear" w:color="auto" w:fill="E8EDF4"/>
          </w:tcPr>
          <w:p>
            <w:pPr>
              <w:spacing w:after="0" w:line="240" w:lineRule="auto"/>
            </w:pPr>
            <w:r/>
            <w:r>
              <w:rPr>
                <w:b/>
                <w:sz w:val="17"/>
              </w:rPr>
              <w:t>Authority</w:t>
            </w:r>
          </w:p>
        </w:tc>
        <w:tc>
          <w:tcPr>
            <w:tcW w:type="dxa" w:w="3024"/>
            <w:shd w:val="clear" w:color="auto" w:fill="E8EDF4"/>
          </w:tcPr>
          <w:p>
            <w:pPr>
              <w:spacing w:after="0" w:line="240" w:lineRule="auto"/>
            </w:pPr>
            <w:r/>
            <w:r>
              <w:rPr>
                <w:b/>
                <w:sz w:val="17"/>
              </w:rPr>
              <w:t>Request</w:t>
            </w:r>
          </w:p>
        </w:tc>
        <w:tc>
          <w:tcPr>
            <w:tcW w:type="dxa" w:w="1440"/>
            <w:shd w:val="clear" w:color="auto" w:fill="E8EDF4"/>
          </w:tcPr>
          <w:p>
            <w:pPr>
              <w:spacing w:after="0" w:line="240" w:lineRule="auto"/>
            </w:pPr>
            <w:r/>
            <w:r>
              <w:rPr>
                <w:b/>
                <w:sz w:val="17"/>
              </w:rPr>
              <w:t>Trials or programs affected</w:t>
            </w:r>
          </w:p>
        </w:tc>
        <w:tc>
          <w:tcPr>
            <w:tcW w:type="dxa" w:w="2016"/>
            <w:shd w:val="clear" w:color="auto" w:fill="E8EDF4"/>
          </w:tcPr>
          <w:p>
            <w:pPr>
              <w:spacing w:after="0" w:line="240" w:lineRule="auto"/>
            </w:pPr>
            <w:r/>
            <w:r>
              <w:rPr>
                <w:b/>
                <w:sz w:val="17"/>
              </w:rPr>
              <w:t>Sponsor response and status</w:t>
            </w:r>
          </w:p>
        </w:tc>
      </w:tr>
      <w:tr>
        <w:trPr>
          <w:cantSplit w:val="true"/>
        </w:trPr>
        <w:tc>
          <w:tcPr>
            <w:tcW w:type="dxa" w:w="1440"/>
          </w:tcPr>
          <w:p>
            <w:pPr>
              <w:spacing w:after="0" w:line="240" w:lineRule="auto"/>
            </w:pPr>
            <w:r/>
            <w:r>
              <w:rPr>
                <w:sz w:val="17"/>
              </w:rPr>
              <w:t>14 December 2021</w:t>
            </w:r>
          </w:p>
        </w:tc>
        <w:tc>
          <w:tcPr>
            <w:tcW w:type="dxa" w:w="1440"/>
          </w:tcPr>
          <w:p>
            <w:pPr>
              <w:spacing w:after="0" w:line="240" w:lineRule="auto"/>
            </w:pPr>
            <w:r/>
            <w:r>
              <w:rPr>
                <w:sz w:val="17"/>
              </w:rPr>
              <w:t>US FDA (IND review)</w:t>
            </w:r>
          </w:p>
        </w:tc>
        <w:tc>
          <w:tcPr>
            <w:tcW w:type="dxa" w:w="3024"/>
          </w:tcPr>
          <w:p>
            <w:pPr>
              <w:spacing w:after="0" w:line="240" w:lineRule="auto"/>
            </w:pPr>
            <w:r/>
            <w:r>
              <w:rPr>
                <w:sz w:val="17"/>
              </w:rPr>
              <w:t>Screen all subjects for latent tuberculosis before the first dose and exclude subjects with untreated latent infection</w:t>
            </w:r>
          </w:p>
        </w:tc>
        <w:tc>
          <w:tcPr>
            <w:tcW w:type="dxa" w:w="1440"/>
          </w:tcPr>
          <w:p>
            <w:pPr>
              <w:spacing w:after="0" w:line="240" w:lineRule="auto"/>
            </w:pPr>
            <w:r/>
            <w:r>
              <w:rPr>
                <w:sz w:val="17"/>
              </w:rPr>
              <w:t>All trials</w:t>
            </w:r>
          </w:p>
        </w:tc>
        <w:tc>
          <w:tcPr>
            <w:tcW w:type="dxa" w:w="2016"/>
          </w:tcPr>
          <w:p>
            <w:pPr>
              <w:spacing w:after="0" w:line="240" w:lineRule="auto"/>
            </w:pPr>
            <w:r/>
            <w:r>
              <w:rPr>
                <w:sz w:val="17"/>
              </w:rPr>
              <w:t>Accepted; implemented in all protocols; remains in effect</w:t>
            </w:r>
          </w:p>
        </w:tc>
      </w:tr>
    </w:tbl>
    <w:p>
      <w:pPr>
        <w:spacing w:after="40"/>
      </w:pPr>
    </w:p>
    <w:p>
      <w:pPr>
        <w:spacing w:after="40"/>
      </w:pPr>
      <w:r>
        <w:rPr>
          <w:i/>
          <w:sz w:val="16"/>
        </w:rPr>
        <w:t>No request was made or closed during the reporting period.</w:t>
      </w:r>
    </w:p>
    <w:p>
      <w:pPr>
        <w:pStyle w:val="Heading2"/>
      </w:pPr>
      <w:bookmarkStart w:id="1040" w:name="_Toc0041"/>
      <w:r>
        <w:t>Appendix 3. Status List of Ongoing and Completed Clinical Trials</w:t>
      </w:r>
      <w:bookmarkEnd w:id="1040"/>
    </w:p>
    <w:p>
      <w:pPr>
        <w:keepNext/>
        <w:spacing w:before="120" w:after="60"/>
      </w:pPr>
      <w:commentRangeStart w:id="69"/>
      <w:r>
        <w:rPr>
          <w:b/>
          <w:color w:val="1F3864"/>
          <w:sz w:val="19"/>
        </w:rPr>
        <w:t>Table A3-1. Clinical trials of XB-7 ongoing or completed during the reporting period</w:t>
      </w:r>
      <w:commentRangeEnd w:id="69"/>
      <w:r>
        <w:rPr>
          <w:rStyle w:val="CommentReference"/>
        </w:rPr>
        <w:commentReference w:id="69"/>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1944"/>
        <w:gridCol w:w="2520"/>
        <w:gridCol w:w="2520"/>
        <w:gridCol w:w="2376"/>
      </w:tblGrid>
      <w:tr>
        <w:trPr>
          <w:cantSplit w:val="true"/>
          <w:tblHeader w:val="true"/>
        </w:trPr>
        <w:tc>
          <w:tcPr>
            <w:tcW w:type="dxa" w:w="1944"/>
            <w:shd w:val="clear" w:color="auto" w:fill="E8EDF4"/>
          </w:tcPr>
          <w:p>
            <w:pPr>
              <w:spacing w:after="0" w:line="240" w:lineRule="auto"/>
            </w:pPr>
            <w:r/>
            <w:r>
              <w:rPr>
                <w:b/>
                <w:sz w:val="17"/>
              </w:rPr>
              <w:t>Field</w:t>
            </w:r>
          </w:p>
        </w:tc>
        <w:tc>
          <w:tcPr>
            <w:tcW w:type="dxa" w:w="2520"/>
            <w:shd w:val="clear" w:color="auto" w:fill="E8EDF4"/>
          </w:tcPr>
          <w:p>
            <w:pPr>
              <w:spacing w:after="0" w:line="240" w:lineRule="auto"/>
            </w:pPr>
            <w:r/>
            <w:r>
              <w:rPr>
                <w:b/>
                <w:sz w:val="17"/>
              </w:rPr>
              <w:t>XB-201</w:t>
            </w:r>
          </w:p>
        </w:tc>
        <w:tc>
          <w:tcPr>
            <w:tcW w:type="dxa" w:w="2520"/>
            <w:shd w:val="clear" w:color="auto" w:fill="E8EDF4"/>
          </w:tcPr>
          <w:p>
            <w:pPr>
              <w:spacing w:after="0" w:line="240" w:lineRule="auto"/>
            </w:pPr>
            <w:r/>
            <w:r>
              <w:rPr>
                <w:b/>
                <w:sz w:val="17"/>
              </w:rPr>
              <w:t>XB-301</w:t>
            </w:r>
          </w:p>
        </w:tc>
        <w:tc>
          <w:tcPr>
            <w:tcW w:type="dxa" w:w="2376"/>
            <w:shd w:val="clear" w:color="auto" w:fill="E8EDF4"/>
          </w:tcPr>
          <w:p>
            <w:pPr>
              <w:spacing w:after="0" w:line="240" w:lineRule="auto"/>
            </w:pPr>
            <w:r/>
            <w:r>
              <w:rPr>
                <w:b/>
                <w:sz w:val="17"/>
              </w:rPr>
              <w:t>XB-302</w:t>
            </w:r>
          </w:p>
        </w:tc>
      </w:tr>
      <w:tr>
        <w:trPr>
          <w:cantSplit w:val="true"/>
        </w:trPr>
        <w:tc>
          <w:tcPr>
            <w:tcW w:type="dxa" w:w="1944"/>
          </w:tcPr>
          <w:p>
            <w:pPr>
              <w:spacing w:after="0" w:line="240" w:lineRule="auto"/>
            </w:pPr>
            <w:r/>
            <w:r>
              <w:rPr>
                <w:b/>
                <w:sz w:val="17"/>
              </w:rPr>
              <w:t>Study identifier</w:t>
            </w:r>
          </w:p>
        </w:tc>
        <w:tc>
          <w:tcPr>
            <w:tcW w:type="dxa" w:w="2520"/>
          </w:tcPr>
          <w:p>
            <w:pPr>
              <w:spacing w:after="0" w:line="240" w:lineRule="auto"/>
            </w:pPr>
            <w:r/>
            <w:r>
              <w:rPr>
                <w:sz w:val="17"/>
              </w:rPr>
              <w:t>XB-201</w:t>
            </w:r>
          </w:p>
        </w:tc>
        <w:tc>
          <w:tcPr>
            <w:tcW w:type="dxa" w:w="2520"/>
          </w:tcPr>
          <w:p>
            <w:pPr>
              <w:spacing w:after="0" w:line="240" w:lineRule="auto"/>
            </w:pPr>
            <w:r/>
            <w:r>
              <w:rPr>
                <w:sz w:val="17"/>
              </w:rPr>
              <w:t>XB-301</w:t>
            </w:r>
          </w:p>
        </w:tc>
        <w:tc>
          <w:tcPr>
            <w:tcW w:type="dxa" w:w="2376"/>
          </w:tcPr>
          <w:p>
            <w:pPr>
              <w:spacing w:after="0" w:line="240" w:lineRule="auto"/>
            </w:pPr>
            <w:r/>
            <w:r>
              <w:rPr>
                <w:sz w:val="17"/>
              </w:rPr>
              <w:t>XB-302</w:t>
            </w:r>
          </w:p>
        </w:tc>
      </w:tr>
      <w:tr>
        <w:trPr>
          <w:cantSplit w:val="true"/>
        </w:trPr>
        <w:tc>
          <w:tcPr>
            <w:tcW w:type="dxa" w:w="1944"/>
          </w:tcPr>
          <w:p>
            <w:pPr>
              <w:spacing w:after="0" w:line="240" w:lineRule="auto"/>
            </w:pPr>
            <w:r/>
            <w:r>
              <w:rPr>
                <w:b/>
                <w:sz w:val="17"/>
              </w:rPr>
              <w:t>EU trial number</w:t>
            </w:r>
          </w:p>
        </w:tc>
        <w:tc>
          <w:tcPr>
            <w:tcW w:type="dxa" w:w="2520"/>
          </w:tcPr>
          <w:p>
            <w:pPr>
              <w:spacing w:after="0" w:line="240" w:lineRule="auto"/>
            </w:pPr>
            <w:r/>
            <w:r>
              <w:rPr>
                <w:sz w:val="17"/>
              </w:rPr>
              <w:t>EudraCT 2021-003417-22</w:t>
            </w:r>
          </w:p>
        </w:tc>
        <w:tc>
          <w:tcPr>
            <w:tcW w:type="dxa" w:w="2520"/>
          </w:tcPr>
          <w:p>
            <w:pPr>
              <w:spacing w:after="0" w:line="240" w:lineRule="auto"/>
            </w:pPr>
            <w:r/>
            <w:r>
              <w:rPr>
                <w:sz w:val="17"/>
              </w:rPr>
              <w:t>EU CT 2024-511842-33-00</w:t>
            </w:r>
          </w:p>
        </w:tc>
        <w:tc>
          <w:tcPr>
            <w:tcW w:type="dxa" w:w="2376"/>
          </w:tcPr>
          <w:p>
            <w:pPr>
              <w:spacing w:after="0" w:line="240" w:lineRule="auto"/>
            </w:pPr>
            <w:r/>
            <w:r>
              <w:rPr>
                <w:sz w:val="17"/>
              </w:rPr>
              <w:t>EU CT 2023-504519-16-00</w:t>
            </w:r>
          </w:p>
        </w:tc>
      </w:tr>
      <w:tr>
        <w:trPr>
          <w:cantSplit w:val="true"/>
        </w:trPr>
        <w:tc>
          <w:tcPr>
            <w:tcW w:type="dxa" w:w="1944"/>
          </w:tcPr>
          <w:p>
            <w:pPr>
              <w:spacing w:after="0" w:line="240" w:lineRule="auto"/>
            </w:pPr>
            <w:r/>
            <w:r>
              <w:rPr>
                <w:b/>
                <w:sz w:val="17"/>
              </w:rPr>
              <w:t>Phase</w:t>
            </w:r>
          </w:p>
        </w:tc>
        <w:tc>
          <w:tcPr>
            <w:tcW w:type="dxa" w:w="2520"/>
          </w:tcPr>
          <w:p>
            <w:pPr>
              <w:spacing w:after="0" w:line="240" w:lineRule="auto"/>
            </w:pPr>
            <w:r/>
            <w:r>
              <w:rPr>
                <w:sz w:val="17"/>
              </w:rPr>
              <w:t>2</w:t>
            </w:r>
          </w:p>
        </w:tc>
        <w:tc>
          <w:tcPr>
            <w:tcW w:type="dxa" w:w="2520"/>
          </w:tcPr>
          <w:p>
            <w:pPr>
              <w:spacing w:after="0" w:line="240" w:lineRule="auto"/>
            </w:pPr>
            <w:r/>
            <w:r>
              <w:rPr>
                <w:sz w:val="17"/>
              </w:rPr>
              <w:t>3</w:t>
            </w:r>
          </w:p>
        </w:tc>
        <w:tc>
          <w:tcPr>
            <w:tcW w:type="dxa" w:w="2376"/>
          </w:tcPr>
          <w:p>
            <w:pPr>
              <w:spacing w:after="0" w:line="240" w:lineRule="auto"/>
            </w:pPr>
            <w:r/>
            <w:r>
              <w:rPr>
                <w:sz w:val="17"/>
              </w:rPr>
              <w:t>3</w:t>
            </w:r>
          </w:p>
        </w:tc>
      </w:tr>
      <w:tr>
        <w:trPr>
          <w:cantSplit w:val="true"/>
        </w:trPr>
        <w:tc>
          <w:tcPr>
            <w:tcW w:type="dxa" w:w="1944"/>
          </w:tcPr>
          <w:p>
            <w:pPr>
              <w:spacing w:after="0" w:line="240" w:lineRule="auto"/>
            </w:pPr>
            <w:r/>
            <w:r>
              <w:rPr>
                <w:b/>
                <w:sz w:val="17"/>
              </w:rPr>
              <w:t>Status</w:t>
            </w:r>
          </w:p>
        </w:tc>
        <w:tc>
          <w:tcPr>
            <w:tcW w:type="dxa" w:w="2520"/>
          </w:tcPr>
          <w:p>
            <w:pPr>
              <w:spacing w:after="0" w:line="240" w:lineRule="auto"/>
            </w:pPr>
            <w:r/>
            <w:r>
              <w:rPr>
                <w:sz w:val="17"/>
              </w:rPr>
              <w:t>Completed (clinical study report final 20 February 2026)</w:t>
            </w:r>
          </w:p>
        </w:tc>
        <w:tc>
          <w:tcPr>
            <w:tcW w:type="dxa" w:w="2520"/>
          </w:tcPr>
          <w:p>
            <w:pPr>
              <w:spacing w:after="0" w:line="240" w:lineRule="auto"/>
            </w:pPr>
            <w:r/>
            <w:r>
              <w:rPr>
                <w:sz w:val="17"/>
              </w:rPr>
              <w:t>Ongoing, blinded</w:t>
            </w:r>
          </w:p>
        </w:tc>
        <w:tc>
          <w:tcPr>
            <w:tcW w:type="dxa" w:w="2376"/>
          </w:tcPr>
          <w:p>
            <w:pPr>
              <w:spacing w:after="0" w:line="240" w:lineRule="auto"/>
            </w:pPr>
            <w:r/>
            <w:r>
              <w:rPr>
                <w:sz w:val="17"/>
              </w:rPr>
              <w:t>Ongoing, open-label</w:t>
            </w:r>
          </w:p>
        </w:tc>
      </w:tr>
      <w:tr>
        <w:trPr>
          <w:cantSplit w:val="true"/>
        </w:trPr>
        <w:tc>
          <w:tcPr>
            <w:tcW w:type="dxa" w:w="1944"/>
          </w:tcPr>
          <w:p>
            <w:pPr>
              <w:spacing w:after="0" w:line="240" w:lineRule="auto"/>
            </w:pPr>
            <w:r/>
            <w:r>
              <w:rPr>
                <w:b/>
                <w:sz w:val="17"/>
              </w:rPr>
              <w:t>Countries with at least one site</w:t>
            </w:r>
          </w:p>
        </w:tc>
        <w:tc>
          <w:tcPr>
            <w:tcW w:type="dxa" w:w="2520"/>
          </w:tcPr>
          <w:p>
            <w:pPr>
              <w:spacing w:after="0" w:line="240" w:lineRule="auto"/>
            </w:pPr>
            <w:r/>
            <w:r>
              <w:rPr>
                <w:sz w:val="17"/>
              </w:rPr>
              <w:t>9: Canada, Czech Republic, Germany, Hungary, Italy, Poland, Spain, United Kingdom, United States</w:t>
            </w:r>
          </w:p>
        </w:tc>
        <w:tc>
          <w:tcPr>
            <w:tcW w:type="dxa" w:w="2520"/>
          </w:tcPr>
          <w:p>
            <w:pPr>
              <w:spacing w:after="0" w:line="240" w:lineRule="auto"/>
            </w:pPr>
            <w:r/>
            <w:r>
              <w:rPr>
                <w:sz w:val="17"/>
              </w:rPr>
              <w:t>10: Canada, Czech Republic, France, Germany, Italy, Netherlands, Poland, Spain, United Kingdom, United States</w:t>
            </w:r>
          </w:p>
        </w:tc>
        <w:tc>
          <w:tcPr>
            <w:tcW w:type="dxa" w:w="2376"/>
          </w:tcPr>
          <w:p>
            <w:pPr>
              <w:spacing w:after="0" w:line="240" w:lineRule="auto"/>
            </w:pPr>
            <w:r/>
            <w:r>
              <w:rPr>
                <w:sz w:val="17"/>
              </w:rPr>
              <w:t>8: Canada, Czech Republic, Germany, Italy, Poland, Spain, United Kingdom, United States</w:t>
            </w:r>
          </w:p>
        </w:tc>
      </w:tr>
      <w:tr>
        <w:trPr>
          <w:cantSplit w:val="true"/>
        </w:trPr>
        <w:tc>
          <w:tcPr>
            <w:tcW w:type="dxa" w:w="1944"/>
          </w:tcPr>
          <w:p>
            <w:pPr>
              <w:spacing w:after="0" w:line="240" w:lineRule="auto"/>
            </w:pPr>
            <w:r/>
            <w:r>
              <w:rPr>
                <w:b/>
                <w:sz w:val="17"/>
              </w:rPr>
              <w:t>Abbreviated title</w:t>
            </w:r>
          </w:p>
        </w:tc>
        <w:tc>
          <w:tcPr>
            <w:tcW w:type="dxa" w:w="2520"/>
          </w:tcPr>
          <w:p>
            <w:pPr>
              <w:spacing w:after="0" w:line="240" w:lineRule="auto"/>
            </w:pPr>
            <w:r/>
            <w:r>
              <w:rPr>
                <w:sz w:val="17"/>
              </w:rPr>
              <w:t>Placebo-controlled study of XB-7 in adults with moderate-to-severe disease (52 weeks of treatment, 12 weeks of safety follow-up)</w:t>
            </w:r>
          </w:p>
        </w:tc>
        <w:tc>
          <w:tcPr>
            <w:tcW w:type="dxa" w:w="2520"/>
          </w:tcPr>
          <w:p>
            <w:pPr>
              <w:spacing w:after="0" w:line="240" w:lineRule="auto"/>
            </w:pPr>
            <w:r/>
            <w:r>
              <w:rPr>
                <w:sz w:val="17"/>
              </w:rPr>
              <w:t>Pivotal placebo-controlled study of XB-7 in adults with moderate-to-severe disease</w:t>
            </w:r>
          </w:p>
        </w:tc>
        <w:tc>
          <w:tcPr>
            <w:tcW w:type="dxa" w:w="2376"/>
          </w:tcPr>
          <w:p>
            <w:pPr>
              <w:spacing w:after="0" w:line="240" w:lineRule="auto"/>
            </w:pPr>
            <w:r/>
            <w:r>
              <w:rPr>
                <w:sz w:val="17"/>
              </w:rPr>
              <w:t>Open-label extension of XB-201 and XB-301</w:t>
            </w:r>
          </w:p>
        </w:tc>
      </w:tr>
      <w:tr>
        <w:trPr>
          <w:cantSplit w:val="true"/>
        </w:trPr>
        <w:tc>
          <w:tcPr>
            <w:tcW w:type="dxa" w:w="1944"/>
          </w:tcPr>
          <w:p>
            <w:pPr>
              <w:spacing w:after="0" w:line="240" w:lineRule="auto"/>
            </w:pPr>
            <w:r/>
            <w:r>
              <w:rPr>
                <w:b/>
                <w:sz w:val="17"/>
              </w:rPr>
              <w:t>Design</w:t>
            </w:r>
          </w:p>
        </w:tc>
        <w:tc>
          <w:tcPr>
            <w:tcW w:type="dxa" w:w="2520"/>
          </w:tcPr>
          <w:p>
            <w:pPr>
              <w:spacing w:after="0" w:line="240" w:lineRule="auto"/>
            </w:pPr>
            <w:r/>
            <w:r>
              <w:rPr>
                <w:sz w:val="17"/>
              </w:rPr>
              <w:t>Randomized 2:1, double-blind, placebo-controlled, parallel group; 48 sites</w:t>
            </w:r>
          </w:p>
        </w:tc>
        <w:tc>
          <w:tcPr>
            <w:tcW w:type="dxa" w:w="2520"/>
          </w:tcPr>
          <w:p>
            <w:pPr>
              <w:spacing w:after="0" w:line="240" w:lineRule="auto"/>
            </w:pPr>
            <w:r/>
            <w:r>
              <w:rPr>
                <w:sz w:val="17"/>
              </w:rPr>
              <w:t>Randomized 2:1, double-blind, placebo-controlled; independent DMC</w:t>
            </w:r>
          </w:p>
        </w:tc>
        <w:tc>
          <w:tcPr>
            <w:tcW w:type="dxa" w:w="2376"/>
          </w:tcPr>
          <w:p>
            <w:pPr>
              <w:spacing w:after="0" w:line="240" w:lineRule="auto"/>
            </w:pPr>
            <w:r/>
            <w:r>
              <w:rPr>
                <w:sz w:val="17"/>
              </w:rPr>
              <w:t>Open-label, single arm, long-term extension</w:t>
            </w:r>
          </w:p>
        </w:tc>
      </w:tr>
      <w:tr>
        <w:trPr>
          <w:cantSplit w:val="true"/>
        </w:trPr>
        <w:tc>
          <w:tcPr>
            <w:tcW w:type="dxa" w:w="1944"/>
          </w:tcPr>
          <w:p>
            <w:pPr>
              <w:spacing w:after="0" w:line="240" w:lineRule="auto"/>
            </w:pPr>
            <w:r/>
            <w:r>
              <w:rPr>
                <w:b/>
                <w:sz w:val="17"/>
              </w:rPr>
              <w:t>Dose and regimen</w:t>
            </w:r>
          </w:p>
        </w:tc>
        <w:tc>
          <w:tcPr>
            <w:tcW w:type="dxa" w:w="2520"/>
          </w:tcPr>
          <w:p>
            <w:pPr>
              <w:spacing w:after="0" w:line="240" w:lineRule="auto"/>
            </w:pPr>
            <w:r/>
            <w:r>
              <w:rPr>
                <w:sz w:val="17"/>
              </w:rPr>
              <w:t>XB-7 150 mg SC every 4 weeks, or placebo, for 52 weeks, followed by 12 weeks of safety follow-up</w:t>
            </w:r>
          </w:p>
        </w:tc>
        <w:tc>
          <w:tcPr>
            <w:tcW w:type="dxa" w:w="2520"/>
          </w:tcPr>
          <w:p>
            <w:pPr>
              <w:spacing w:after="0" w:line="240" w:lineRule="auto"/>
            </w:pPr>
            <w:r/>
            <w:r>
              <w:rPr>
                <w:sz w:val="17"/>
              </w:rPr>
              <w:t>XB-7 150 mg SC every 4 weeks, or placebo</w:t>
            </w:r>
          </w:p>
        </w:tc>
        <w:tc>
          <w:tcPr>
            <w:tcW w:type="dxa" w:w="2376"/>
          </w:tcPr>
          <w:p>
            <w:pPr>
              <w:spacing w:after="0" w:line="240" w:lineRule="auto"/>
            </w:pPr>
            <w:r/>
            <w:r>
              <w:rPr>
                <w:sz w:val="17"/>
              </w:rPr>
              <w:t>XB-7 150 mg SC every 4 weeks</w:t>
            </w:r>
          </w:p>
        </w:tc>
      </w:tr>
      <w:tr>
        <w:trPr>
          <w:cantSplit w:val="true"/>
        </w:trPr>
        <w:tc>
          <w:tcPr>
            <w:tcW w:type="dxa" w:w="1944"/>
          </w:tcPr>
          <w:p>
            <w:pPr>
              <w:spacing w:after="0" w:line="240" w:lineRule="auto"/>
            </w:pPr>
            <w:r/>
            <w:r>
              <w:rPr>
                <w:b/>
                <w:sz w:val="17"/>
              </w:rPr>
              <w:t>Population</w:t>
            </w:r>
          </w:p>
        </w:tc>
        <w:tc>
          <w:tcPr>
            <w:tcW w:type="dxa" w:w="2520"/>
          </w:tcPr>
          <w:p>
            <w:pPr>
              <w:spacing w:after="0" w:line="240" w:lineRule="auto"/>
            </w:pPr>
            <w:r/>
            <w:r>
              <w:rPr>
                <w:sz w:val="17"/>
              </w:rPr>
              <w:t>Adults 18 to 75 years with moderate-to-severe disease</w:t>
            </w:r>
          </w:p>
        </w:tc>
        <w:tc>
          <w:tcPr>
            <w:tcW w:type="dxa" w:w="2520"/>
          </w:tcPr>
          <w:p>
            <w:pPr>
              <w:spacing w:after="0" w:line="240" w:lineRule="auto"/>
            </w:pPr>
            <w:r/>
            <w:r>
              <w:rPr>
                <w:sz w:val="17"/>
              </w:rPr>
              <w:t>Adults with moderate-to-severe disease</w:t>
            </w:r>
          </w:p>
        </w:tc>
        <w:tc>
          <w:tcPr>
            <w:tcW w:type="dxa" w:w="2376"/>
          </w:tcPr>
          <w:p>
            <w:pPr>
              <w:spacing w:after="0" w:line="240" w:lineRule="auto"/>
            </w:pPr>
            <w:r/>
            <w:r>
              <w:rPr>
                <w:sz w:val="17"/>
              </w:rPr>
              <w:t>Completers of the parent trials</w:t>
            </w:r>
          </w:p>
        </w:tc>
      </w:tr>
      <w:tr>
        <w:trPr>
          <w:cantSplit w:val="true"/>
        </w:trPr>
        <w:tc>
          <w:tcPr>
            <w:tcW w:type="dxa" w:w="1944"/>
          </w:tcPr>
          <w:p>
            <w:pPr>
              <w:spacing w:after="0" w:line="240" w:lineRule="auto"/>
            </w:pPr>
            <w:r/>
            <w:r>
              <w:rPr>
                <w:b/>
                <w:sz w:val="17"/>
              </w:rPr>
              <w:t>Start date (first subject dosed)</w:t>
            </w:r>
          </w:p>
        </w:tc>
        <w:tc>
          <w:tcPr>
            <w:tcW w:type="dxa" w:w="2520"/>
          </w:tcPr>
          <w:p>
            <w:pPr>
              <w:spacing w:after="0" w:line="240" w:lineRule="auto"/>
            </w:pPr>
            <w:r/>
            <w:r>
              <w:rPr>
                <w:sz w:val="17"/>
              </w:rPr>
              <w:t>November 2021</w:t>
            </w:r>
          </w:p>
        </w:tc>
        <w:tc>
          <w:tcPr>
            <w:tcW w:type="dxa" w:w="2520"/>
          </w:tcPr>
          <w:p>
            <w:pPr>
              <w:spacing w:after="0" w:line="240" w:lineRule="auto"/>
            </w:pPr>
            <w:r/>
            <w:r>
              <w:rPr>
                <w:sz w:val="17"/>
              </w:rPr>
              <w:t>March 2024</w:t>
            </w:r>
          </w:p>
        </w:tc>
        <w:tc>
          <w:tcPr>
            <w:tcW w:type="dxa" w:w="2376"/>
          </w:tcPr>
          <w:p>
            <w:pPr>
              <w:spacing w:after="0" w:line="240" w:lineRule="auto"/>
            </w:pPr>
            <w:r/>
            <w:r>
              <w:rPr>
                <w:sz w:val="17"/>
              </w:rPr>
              <w:t>January 2023</w:t>
            </w:r>
          </w:p>
        </w:tc>
      </w:tr>
      <w:tr>
        <w:trPr>
          <w:cantSplit w:val="true"/>
        </w:trPr>
        <w:tc>
          <w:tcPr>
            <w:tcW w:type="dxa" w:w="1944"/>
          </w:tcPr>
          <w:p>
            <w:pPr>
              <w:spacing w:after="0" w:line="240" w:lineRule="auto"/>
            </w:pPr>
            <w:r/>
            <w:r>
              <w:rPr>
                <w:b/>
                <w:sz w:val="17"/>
              </w:rPr>
              <w:t>Planned enrollment</w:t>
            </w:r>
          </w:p>
        </w:tc>
        <w:tc>
          <w:tcPr>
            <w:tcW w:type="dxa" w:w="2520"/>
          </w:tcPr>
          <w:p>
            <w:pPr>
              <w:spacing w:after="0" w:line="240" w:lineRule="auto"/>
            </w:pPr>
            <w:r/>
            <w:r>
              <w:rPr>
                <w:sz w:val="17"/>
              </w:rPr>
              <w:t>270</w:t>
            </w:r>
          </w:p>
        </w:tc>
        <w:tc>
          <w:tcPr>
            <w:tcW w:type="dxa" w:w="2520"/>
          </w:tcPr>
          <w:p>
            <w:pPr>
              <w:spacing w:after="0" w:line="240" w:lineRule="auto"/>
            </w:pPr>
            <w:r/>
            <w:r>
              <w:rPr>
                <w:sz w:val="17"/>
              </w:rPr>
              <w:t>600</w:t>
            </w:r>
          </w:p>
        </w:tc>
        <w:tc>
          <w:tcPr>
            <w:tcW w:type="dxa" w:w="2376"/>
          </w:tcPr>
          <w:p>
            <w:pPr>
              <w:spacing w:after="0" w:line="240" w:lineRule="auto"/>
            </w:pPr>
            <w:r/>
            <w:r>
              <w:rPr>
                <w:sz w:val="17"/>
              </w:rPr>
              <w:t>500</w:t>
            </w:r>
          </w:p>
        </w:tc>
      </w:tr>
      <w:tr>
        <w:trPr>
          <w:cantSplit w:val="true"/>
        </w:trPr>
        <w:tc>
          <w:tcPr>
            <w:tcW w:type="dxa" w:w="1944"/>
          </w:tcPr>
          <w:p>
            <w:pPr>
              <w:spacing w:after="0" w:line="240" w:lineRule="auto"/>
            </w:pPr>
            <w:r/>
            <w:r>
              <w:rPr>
                <w:b/>
                <w:sz w:val="17"/>
              </w:rPr>
              <w:t>Estimated cumulative exposure per arm</w:t>
            </w:r>
          </w:p>
        </w:tc>
        <w:tc>
          <w:tcPr>
            <w:tcW w:type="dxa" w:w="2520"/>
          </w:tcPr>
          <w:p>
            <w:pPr>
              <w:spacing w:after="0" w:line="240" w:lineRule="auto"/>
            </w:pPr>
            <w:r/>
            <w:r>
              <w:rPr>
                <w:sz w:val="17"/>
              </w:rPr>
              <w:t>XB-7 180; placebo 90 (actual)</w:t>
            </w:r>
          </w:p>
        </w:tc>
        <w:tc>
          <w:tcPr>
            <w:tcW w:type="dxa" w:w="2520"/>
          </w:tcPr>
          <w:p>
            <w:pPr>
              <w:spacing w:after="0" w:line="240" w:lineRule="auto"/>
            </w:pPr>
            <w:r/>
            <w:r>
              <w:rPr>
                <w:sz w:val="17"/>
              </w:rPr>
              <w:t>300 randomized at the DLP (estimated XB-7 200; placebo 100)</w:t>
            </w:r>
          </w:p>
        </w:tc>
        <w:tc>
          <w:tcPr>
            <w:tcW w:type="dxa" w:w="2376"/>
          </w:tcPr>
          <w:p>
            <w:pPr>
              <w:spacing w:after="0" w:line="240" w:lineRule="auto"/>
            </w:pPr>
            <w:r/>
            <w:r>
              <w:rPr>
                <w:sz w:val="17"/>
              </w:rPr>
              <w:t>142 (all XB-7); counted in the parent trials</w:t>
            </w:r>
          </w:p>
        </w:tc>
      </w:tr>
    </w:tbl>
    <w:p>
      <w:pPr>
        <w:spacing w:after="40"/>
      </w:pPr>
    </w:p>
    <w:p>
      <w:pPr>
        <w:keepNext/>
        <w:spacing w:before="120" w:after="60"/>
      </w:pPr>
      <w:r>
        <w:rPr>
          <w:b/>
          <w:color w:val="1F3864"/>
          <w:sz w:val="19"/>
        </w:rPr>
        <w:t>Table A3-2. Inventory summary (as in Section 5)</w:t>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792"/>
        <w:gridCol w:w="648"/>
        <w:gridCol w:w="1152"/>
        <w:gridCol w:w="1512"/>
        <w:gridCol w:w="1080"/>
        <w:gridCol w:w="1440"/>
        <w:gridCol w:w="792"/>
        <w:gridCol w:w="1944"/>
      </w:tblGrid>
      <w:tr>
        <w:trPr>
          <w:cantSplit w:val="true"/>
          <w:tblHeader w:val="true"/>
        </w:trPr>
        <w:tc>
          <w:tcPr>
            <w:tcW w:type="dxa" w:w="792"/>
            <w:shd w:val="clear" w:color="auto" w:fill="E8EDF4"/>
          </w:tcPr>
          <w:p>
            <w:pPr>
              <w:spacing w:after="0" w:line="240" w:lineRule="auto"/>
            </w:pPr>
            <w:r/>
            <w:r>
              <w:rPr>
                <w:b/>
                <w:sz w:val="16"/>
              </w:rPr>
              <w:t>Study</w:t>
            </w:r>
          </w:p>
        </w:tc>
        <w:tc>
          <w:tcPr>
            <w:tcW w:type="dxa" w:w="648"/>
            <w:shd w:val="clear" w:color="auto" w:fill="E8EDF4"/>
          </w:tcPr>
          <w:p>
            <w:pPr>
              <w:spacing w:after="0" w:line="240" w:lineRule="auto"/>
            </w:pPr>
            <w:r/>
            <w:r>
              <w:rPr>
                <w:b/>
                <w:sz w:val="16"/>
              </w:rPr>
              <w:t>Phase</w:t>
            </w:r>
          </w:p>
        </w:tc>
        <w:tc>
          <w:tcPr>
            <w:tcW w:type="dxa" w:w="1152"/>
            <w:shd w:val="clear" w:color="auto" w:fill="E8EDF4"/>
          </w:tcPr>
          <w:p>
            <w:pPr>
              <w:spacing w:after="0" w:line="240" w:lineRule="auto"/>
            </w:pPr>
            <w:r/>
            <w:r>
              <w:rPr>
                <w:b/>
                <w:sz w:val="16"/>
              </w:rPr>
              <w:t>Status</w:t>
            </w:r>
          </w:p>
        </w:tc>
        <w:tc>
          <w:tcPr>
            <w:tcW w:type="dxa" w:w="1512"/>
            <w:shd w:val="clear" w:color="auto" w:fill="E8EDF4"/>
          </w:tcPr>
          <w:p>
            <w:pPr>
              <w:spacing w:after="0" w:line="240" w:lineRule="auto"/>
            </w:pPr>
            <w:r/>
            <w:r>
              <w:rPr>
                <w:b/>
                <w:sz w:val="16"/>
              </w:rPr>
              <w:t>Design</w:t>
            </w:r>
          </w:p>
        </w:tc>
        <w:tc>
          <w:tcPr>
            <w:tcW w:type="dxa" w:w="1080"/>
            <w:shd w:val="clear" w:color="auto" w:fill="E8EDF4"/>
          </w:tcPr>
          <w:p>
            <w:pPr>
              <w:spacing w:after="0" w:line="240" w:lineRule="auto"/>
            </w:pPr>
            <w:r/>
            <w:r>
              <w:rPr>
                <w:b/>
                <w:sz w:val="16"/>
              </w:rPr>
              <w:t>XB-7 regimen</w:t>
            </w:r>
          </w:p>
        </w:tc>
        <w:tc>
          <w:tcPr>
            <w:tcW w:type="dxa" w:w="1440"/>
            <w:shd w:val="clear" w:color="auto" w:fill="E8EDF4"/>
          </w:tcPr>
          <w:p>
            <w:pPr>
              <w:spacing w:after="0" w:line="240" w:lineRule="auto"/>
            </w:pPr>
            <w:r/>
            <w:r>
              <w:rPr>
                <w:b/>
                <w:sz w:val="16"/>
              </w:rPr>
              <w:t>Population</w:t>
            </w:r>
          </w:p>
        </w:tc>
        <w:tc>
          <w:tcPr>
            <w:tcW w:type="dxa" w:w="792"/>
            <w:shd w:val="clear" w:color="auto" w:fill="E8EDF4"/>
          </w:tcPr>
          <w:p>
            <w:pPr>
              <w:spacing w:after="0" w:line="240" w:lineRule="auto"/>
            </w:pPr>
            <w:r/>
            <w:r>
              <w:rPr>
                <w:b/>
                <w:sz w:val="16"/>
              </w:rPr>
              <w:t>Planned</w:t>
            </w:r>
          </w:p>
        </w:tc>
        <w:tc>
          <w:tcPr>
            <w:tcW w:type="dxa" w:w="1944"/>
            <w:shd w:val="clear" w:color="auto" w:fill="E8EDF4"/>
          </w:tcPr>
          <w:p>
            <w:pPr>
              <w:spacing w:after="0" w:line="240" w:lineRule="auto"/>
            </w:pPr>
            <w:r/>
            <w:r>
              <w:rPr>
                <w:b/>
                <w:sz w:val="16"/>
              </w:rPr>
              <w:t>Exposed to date</w:t>
            </w:r>
          </w:p>
        </w:tc>
      </w:tr>
      <w:tr>
        <w:trPr>
          <w:cantSplit w:val="true"/>
        </w:trPr>
        <w:tc>
          <w:tcPr>
            <w:tcW w:type="dxa" w:w="792"/>
          </w:tcPr>
          <w:p>
            <w:pPr>
              <w:spacing w:after="0" w:line="240" w:lineRule="auto"/>
            </w:pPr>
            <w:r/>
            <w:r>
              <w:rPr>
                <w:sz w:val="16"/>
              </w:rPr>
              <w:t>XB-201</w:t>
            </w:r>
          </w:p>
        </w:tc>
        <w:tc>
          <w:tcPr>
            <w:tcW w:type="dxa" w:w="648"/>
          </w:tcPr>
          <w:p>
            <w:pPr>
              <w:spacing w:after="0" w:line="240" w:lineRule="auto"/>
            </w:pPr>
            <w:r/>
            <w:r>
              <w:rPr>
                <w:sz w:val="16"/>
              </w:rPr>
              <w:t>2</w:t>
            </w:r>
          </w:p>
        </w:tc>
        <w:tc>
          <w:tcPr>
            <w:tcW w:type="dxa" w:w="1152"/>
          </w:tcPr>
          <w:p>
            <w:pPr>
              <w:spacing w:after="0" w:line="240" w:lineRule="auto"/>
            </w:pPr>
            <w:r/>
            <w:r>
              <w:rPr>
                <w:sz w:val="16"/>
              </w:rPr>
              <w:t>Completed (CSR final)</w:t>
            </w:r>
          </w:p>
        </w:tc>
        <w:tc>
          <w:tcPr>
            <w:tcW w:type="dxa" w:w="1512"/>
          </w:tcPr>
          <w:p>
            <w:pPr>
              <w:spacing w:after="0" w:line="240" w:lineRule="auto"/>
            </w:pPr>
            <w:r/>
            <w:r>
              <w:rPr>
                <w:sz w:val="16"/>
              </w:rPr>
              <w:t>Randomized, double-blind, placebo-controlled</w:t>
            </w:r>
          </w:p>
        </w:tc>
        <w:tc>
          <w:tcPr>
            <w:tcW w:type="dxa" w:w="1080"/>
          </w:tcPr>
          <w:p>
            <w:pPr>
              <w:spacing w:after="0" w:line="240" w:lineRule="auto"/>
            </w:pPr>
            <w:r/>
            <w:r>
              <w:rPr>
                <w:sz w:val="16"/>
              </w:rPr>
              <w:t>150 mg SC every 4 weeks</w:t>
            </w:r>
          </w:p>
        </w:tc>
        <w:tc>
          <w:tcPr>
            <w:tcW w:type="dxa" w:w="1440"/>
          </w:tcPr>
          <w:p>
            <w:pPr>
              <w:spacing w:after="0" w:line="240" w:lineRule="auto"/>
            </w:pPr>
            <w:r/>
            <w:r>
              <w:rPr>
                <w:sz w:val="16"/>
              </w:rPr>
              <w:t>Adults with moderate-to-severe disease</w:t>
            </w:r>
          </w:p>
        </w:tc>
        <w:tc>
          <w:tcPr>
            <w:tcW w:type="dxa" w:w="792"/>
          </w:tcPr>
          <w:p>
            <w:pPr>
              <w:spacing w:after="0" w:line="240" w:lineRule="auto"/>
            </w:pPr>
            <w:r/>
            <w:r>
              <w:rPr>
                <w:sz w:val="16"/>
              </w:rPr>
              <w:t>270</w:t>
            </w:r>
          </w:p>
        </w:tc>
        <w:tc>
          <w:tcPr>
            <w:tcW w:type="dxa" w:w="1944"/>
          </w:tcPr>
          <w:p>
            <w:pPr>
              <w:spacing w:after="0" w:line="240" w:lineRule="auto"/>
            </w:pPr>
            <w:r/>
            <w:r>
              <w:rPr>
                <w:sz w:val="16"/>
              </w:rPr>
              <w:t>XB-7 180; placebo 90</w:t>
            </w:r>
          </w:p>
        </w:tc>
      </w:tr>
      <w:tr>
        <w:trPr>
          <w:cantSplit w:val="true"/>
        </w:trPr>
        <w:tc>
          <w:tcPr>
            <w:tcW w:type="dxa" w:w="792"/>
          </w:tcPr>
          <w:p>
            <w:pPr>
              <w:spacing w:after="0" w:line="240" w:lineRule="auto"/>
            </w:pPr>
            <w:r/>
            <w:r>
              <w:rPr>
                <w:sz w:val="16"/>
              </w:rPr>
              <w:t>XB-301</w:t>
            </w:r>
          </w:p>
        </w:tc>
        <w:tc>
          <w:tcPr>
            <w:tcW w:type="dxa" w:w="648"/>
          </w:tcPr>
          <w:p>
            <w:pPr>
              <w:spacing w:after="0" w:line="240" w:lineRule="auto"/>
            </w:pPr>
            <w:r/>
            <w:r>
              <w:rPr>
                <w:sz w:val="16"/>
              </w:rPr>
              <w:t>3</w:t>
            </w:r>
          </w:p>
        </w:tc>
        <w:tc>
          <w:tcPr>
            <w:tcW w:type="dxa" w:w="1152"/>
          </w:tcPr>
          <w:p>
            <w:pPr>
              <w:spacing w:after="0" w:line="240" w:lineRule="auto"/>
            </w:pPr>
            <w:r/>
            <w:r>
              <w:rPr>
                <w:sz w:val="16"/>
              </w:rPr>
              <w:t>Ongoing, blinded</w:t>
            </w:r>
          </w:p>
        </w:tc>
        <w:tc>
          <w:tcPr>
            <w:tcW w:type="dxa" w:w="1512"/>
          </w:tcPr>
          <w:p>
            <w:pPr>
              <w:spacing w:after="0" w:line="240" w:lineRule="auto"/>
            </w:pPr>
            <w:r/>
            <w:r>
              <w:rPr>
                <w:sz w:val="16"/>
              </w:rPr>
              <w:t>Randomized 2:1, double-blind, placebo-controlled</w:t>
            </w:r>
          </w:p>
        </w:tc>
        <w:tc>
          <w:tcPr>
            <w:tcW w:type="dxa" w:w="1080"/>
          </w:tcPr>
          <w:p>
            <w:pPr>
              <w:spacing w:after="0" w:line="240" w:lineRule="auto"/>
            </w:pPr>
            <w:r/>
            <w:r>
              <w:rPr>
                <w:sz w:val="16"/>
              </w:rPr>
              <w:t>150 mg SC every 4 weeks</w:t>
            </w:r>
          </w:p>
        </w:tc>
        <w:tc>
          <w:tcPr>
            <w:tcW w:type="dxa" w:w="1440"/>
          </w:tcPr>
          <w:p>
            <w:pPr>
              <w:spacing w:after="0" w:line="240" w:lineRule="auto"/>
            </w:pPr>
            <w:r/>
            <w:r>
              <w:rPr>
                <w:sz w:val="16"/>
              </w:rPr>
              <w:t>Adults with moderate-to-severe disease</w:t>
            </w:r>
          </w:p>
        </w:tc>
        <w:tc>
          <w:tcPr>
            <w:tcW w:type="dxa" w:w="792"/>
          </w:tcPr>
          <w:p>
            <w:pPr>
              <w:spacing w:after="0" w:line="240" w:lineRule="auto"/>
            </w:pPr>
            <w:r/>
            <w:r>
              <w:rPr>
                <w:sz w:val="16"/>
              </w:rPr>
              <w:t>600</w:t>
            </w:r>
          </w:p>
        </w:tc>
        <w:tc>
          <w:tcPr>
            <w:tcW w:type="dxa" w:w="1944"/>
          </w:tcPr>
          <w:p>
            <w:pPr>
              <w:spacing w:after="0" w:line="240" w:lineRule="auto"/>
            </w:pPr>
            <w:r/>
            <w:r>
              <w:rPr>
                <w:sz w:val="16"/>
              </w:rPr>
              <w:t>300 randomized (est. XB-7 200; placebo 100)</w:t>
            </w:r>
          </w:p>
        </w:tc>
      </w:tr>
      <w:tr>
        <w:trPr>
          <w:cantSplit w:val="true"/>
        </w:trPr>
        <w:tc>
          <w:tcPr>
            <w:tcW w:type="dxa" w:w="792"/>
          </w:tcPr>
          <w:p>
            <w:pPr>
              <w:spacing w:after="0" w:line="240" w:lineRule="auto"/>
            </w:pPr>
            <w:r/>
            <w:r>
              <w:rPr>
                <w:sz w:val="16"/>
              </w:rPr>
              <w:t>XB-302</w:t>
            </w:r>
          </w:p>
        </w:tc>
        <w:tc>
          <w:tcPr>
            <w:tcW w:type="dxa" w:w="648"/>
          </w:tcPr>
          <w:p>
            <w:pPr>
              <w:spacing w:after="0" w:line="240" w:lineRule="auto"/>
            </w:pPr>
            <w:r/>
            <w:r>
              <w:rPr>
                <w:sz w:val="16"/>
              </w:rPr>
              <w:t>3</w:t>
            </w:r>
          </w:p>
        </w:tc>
        <w:tc>
          <w:tcPr>
            <w:tcW w:type="dxa" w:w="1152"/>
          </w:tcPr>
          <w:p>
            <w:pPr>
              <w:spacing w:after="0" w:line="240" w:lineRule="auto"/>
            </w:pPr>
            <w:r/>
            <w:r>
              <w:rPr>
                <w:sz w:val="16"/>
              </w:rPr>
              <w:t>Ongoing, open-label</w:t>
            </w:r>
          </w:p>
        </w:tc>
        <w:tc>
          <w:tcPr>
            <w:tcW w:type="dxa" w:w="1512"/>
          </w:tcPr>
          <w:p>
            <w:pPr>
              <w:spacing w:after="0" w:line="240" w:lineRule="auto"/>
            </w:pPr>
            <w:r/>
            <w:r>
              <w:rPr>
                <w:sz w:val="16"/>
              </w:rPr>
              <w:t>Extension of XB-201 and XB-301</w:t>
            </w:r>
          </w:p>
        </w:tc>
        <w:tc>
          <w:tcPr>
            <w:tcW w:type="dxa" w:w="1080"/>
          </w:tcPr>
          <w:p>
            <w:pPr>
              <w:spacing w:after="0" w:line="240" w:lineRule="auto"/>
            </w:pPr>
            <w:r/>
            <w:r>
              <w:rPr>
                <w:sz w:val="16"/>
              </w:rPr>
              <w:t>150 mg SC every 4 weeks</w:t>
            </w:r>
          </w:p>
        </w:tc>
        <w:tc>
          <w:tcPr>
            <w:tcW w:type="dxa" w:w="1440"/>
          </w:tcPr>
          <w:p>
            <w:pPr>
              <w:spacing w:after="0" w:line="240" w:lineRule="auto"/>
            </w:pPr>
            <w:r/>
            <w:r>
              <w:rPr>
                <w:sz w:val="16"/>
              </w:rPr>
              <w:t>Completers of the parent trials</w:t>
            </w:r>
          </w:p>
        </w:tc>
        <w:tc>
          <w:tcPr>
            <w:tcW w:type="dxa" w:w="792"/>
          </w:tcPr>
          <w:p>
            <w:pPr>
              <w:spacing w:after="0" w:line="240" w:lineRule="auto"/>
            </w:pPr>
            <w:r/>
            <w:r>
              <w:rPr>
                <w:sz w:val="16"/>
              </w:rPr>
              <w:t>500</w:t>
            </w:r>
          </w:p>
        </w:tc>
        <w:tc>
          <w:tcPr>
            <w:tcW w:type="dxa" w:w="1944"/>
          </w:tcPr>
          <w:p>
            <w:pPr>
              <w:spacing w:after="0" w:line="240" w:lineRule="auto"/>
            </w:pPr>
            <w:r/>
            <w:r>
              <w:rPr>
                <w:sz w:val="16"/>
              </w:rPr>
              <w:t>142 (all XB-7)</w:t>
            </w:r>
          </w:p>
        </w:tc>
      </w:tr>
    </w:tbl>
    <w:p>
      <w:pPr>
        <w:spacing w:after="40"/>
      </w:pPr>
    </w:p>
    <w:p>
      <w:pPr>
        <w:keepNext/>
        <w:spacing w:before="120" w:after="60"/>
      </w:pPr>
      <w:commentRangeStart w:id="70"/>
      <w:r>
        <w:rPr>
          <w:b/>
          <w:color w:val="1F3864"/>
          <w:sz w:val="19"/>
        </w:rPr>
        <w:t>Table A3-3. Synopsis of XB-201 (clinical study report final 20 February 2026)</w:t>
      </w:r>
      <w:commentRangeEnd w:id="70"/>
      <w:r>
        <w:rPr>
          <w:rStyle w:val="CommentReference"/>
        </w:rPr>
        <w:commentReference w:id="70"/>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2304"/>
        <w:gridCol w:w="7056"/>
      </w:tblGrid>
      <w:tr>
        <w:trPr>
          <w:cantSplit w:val="true"/>
          <w:tblHeader w:val="true"/>
        </w:trPr>
        <w:tc>
          <w:tcPr>
            <w:tcW w:type="dxa" w:w="2304"/>
            <w:shd w:val="clear" w:color="auto" w:fill="E8EDF4"/>
          </w:tcPr>
          <w:p>
            <w:pPr>
              <w:spacing w:after="0" w:line="240" w:lineRule="auto"/>
            </w:pPr>
            <w:r/>
            <w:r>
              <w:rPr>
                <w:b/>
                <w:sz w:val="17"/>
              </w:rPr>
              <w:t>Item</w:t>
            </w:r>
          </w:p>
        </w:tc>
        <w:tc>
          <w:tcPr>
            <w:tcW w:type="dxa" w:w="7056"/>
            <w:shd w:val="clear" w:color="auto" w:fill="E8EDF4"/>
          </w:tcPr>
          <w:p>
            <w:pPr>
              <w:spacing w:after="0" w:line="240" w:lineRule="auto"/>
            </w:pPr>
            <w:r/>
            <w:r>
              <w:rPr>
                <w:b/>
                <w:sz w:val="17"/>
              </w:rPr>
              <w:t>Summary</w:t>
            </w:r>
          </w:p>
        </w:tc>
      </w:tr>
      <w:tr>
        <w:trPr>
          <w:cantSplit w:val="true"/>
        </w:trPr>
        <w:tc>
          <w:tcPr>
            <w:tcW w:type="dxa" w:w="2304"/>
          </w:tcPr>
          <w:p>
            <w:pPr>
              <w:spacing w:after="0" w:line="240" w:lineRule="auto"/>
            </w:pPr>
            <w:r/>
            <w:r>
              <w:rPr>
                <w:b/>
                <w:sz w:val="17"/>
              </w:rPr>
              <w:t>Title</w:t>
            </w:r>
          </w:p>
        </w:tc>
        <w:tc>
          <w:tcPr>
            <w:tcW w:type="dxa" w:w="7056"/>
          </w:tcPr>
          <w:p>
            <w:pPr>
              <w:spacing w:after="0" w:line="240" w:lineRule="auto"/>
            </w:pPr>
            <w:r/>
            <w:r>
              <w:rPr>
                <w:sz w:val="17"/>
              </w:rPr>
              <w:t>A randomized, double-blind, placebo-controlled Phase 2 study of XB-7 in adults with moderate-to-severe autoimmune disease: 52 weeks of treatment followed by 12 weeks of safety follow-up</w:t>
            </w:r>
          </w:p>
        </w:tc>
      </w:tr>
      <w:tr>
        <w:trPr>
          <w:cantSplit w:val="true"/>
        </w:trPr>
        <w:tc>
          <w:tcPr>
            <w:tcW w:type="dxa" w:w="2304"/>
          </w:tcPr>
          <w:p>
            <w:pPr>
              <w:spacing w:after="0" w:line="240" w:lineRule="auto"/>
            </w:pPr>
            <w:r/>
            <w:r>
              <w:rPr>
                <w:b/>
                <w:sz w:val="17"/>
              </w:rPr>
              <w:t>Clinical study report</w:t>
            </w:r>
          </w:p>
        </w:tc>
        <w:tc>
          <w:tcPr>
            <w:tcW w:type="dxa" w:w="7056"/>
          </w:tcPr>
          <w:p>
            <w:pPr>
              <w:spacing w:after="0" w:line="240" w:lineRule="auto"/>
            </w:pPr>
            <w:r/>
            <w:r>
              <w:rPr>
                <w:sz w:val="17"/>
              </w:rPr>
              <w:t>Final, 20 February 2026</w:t>
            </w:r>
          </w:p>
        </w:tc>
      </w:tr>
      <w:tr>
        <w:trPr>
          <w:cantSplit w:val="true"/>
        </w:trPr>
        <w:tc>
          <w:tcPr>
            <w:tcW w:type="dxa" w:w="2304"/>
          </w:tcPr>
          <w:p>
            <w:pPr>
              <w:spacing w:after="0" w:line="240" w:lineRule="auto"/>
            </w:pPr>
            <w:r/>
            <w:r>
              <w:rPr>
                <w:b/>
                <w:sz w:val="17"/>
              </w:rPr>
              <w:t>Design and sites</w:t>
            </w:r>
          </w:p>
        </w:tc>
        <w:tc>
          <w:tcPr>
            <w:tcW w:type="dxa" w:w="7056"/>
          </w:tcPr>
          <w:p>
            <w:pPr>
              <w:spacing w:after="0" w:line="240" w:lineRule="auto"/>
            </w:pPr>
            <w:r/>
            <w:r>
              <w:rPr>
                <w:sz w:val="17"/>
              </w:rPr>
              <w:t>Randomized 2:1, double-blind, placebo-controlled, parallel group; 48 sites in 9 countries; first subject dosed November 2021</w:t>
            </w:r>
          </w:p>
        </w:tc>
      </w:tr>
      <w:tr>
        <w:trPr>
          <w:cantSplit w:val="true"/>
        </w:trPr>
        <w:tc>
          <w:tcPr>
            <w:tcW w:type="dxa" w:w="2304"/>
          </w:tcPr>
          <w:p>
            <w:pPr>
              <w:spacing w:after="0" w:line="240" w:lineRule="auto"/>
            </w:pPr>
            <w:r/>
            <w:r>
              <w:rPr>
                <w:b/>
                <w:sz w:val="17"/>
              </w:rPr>
              <w:t>Subjects</w:t>
            </w:r>
          </w:p>
        </w:tc>
        <w:tc>
          <w:tcPr>
            <w:tcW w:type="dxa" w:w="7056"/>
          </w:tcPr>
          <w:p>
            <w:pPr>
              <w:spacing w:after="0" w:line="240" w:lineRule="auto"/>
            </w:pPr>
            <w:r/>
            <w:r>
              <w:rPr>
                <w:sz w:val="17"/>
              </w:rPr>
              <w:t>312 screened; 270 randomized (XB-7 180, placebo 90); 243 completed</w:t>
            </w:r>
          </w:p>
        </w:tc>
      </w:tr>
      <w:tr>
        <w:trPr>
          <w:cantSplit w:val="true"/>
        </w:trPr>
        <w:tc>
          <w:tcPr>
            <w:tcW w:type="dxa" w:w="2304"/>
          </w:tcPr>
          <w:p>
            <w:pPr>
              <w:spacing w:after="0" w:line="240" w:lineRule="auto"/>
            </w:pPr>
            <w:r/>
            <w:r>
              <w:rPr>
                <w:b/>
                <w:sz w:val="17"/>
              </w:rPr>
              <w:t>Treatment</w:t>
            </w:r>
          </w:p>
        </w:tc>
        <w:tc>
          <w:tcPr>
            <w:tcW w:type="dxa" w:w="7056"/>
          </w:tcPr>
          <w:p>
            <w:pPr>
              <w:spacing w:after="0" w:line="240" w:lineRule="auto"/>
            </w:pPr>
            <w:r/>
            <w:r>
              <w:rPr>
                <w:sz w:val="17"/>
              </w:rPr>
              <w:t>XB-7 150 mg SC every 4 weeks or placebo for 52 weeks, followed by 12 weeks of safety follow-up</w:t>
            </w:r>
          </w:p>
        </w:tc>
      </w:tr>
      <w:tr>
        <w:trPr>
          <w:cantSplit w:val="true"/>
        </w:trPr>
        <w:tc>
          <w:tcPr>
            <w:tcW w:type="dxa" w:w="2304"/>
          </w:tcPr>
          <w:p>
            <w:pPr>
              <w:spacing w:after="0" w:line="240" w:lineRule="auto"/>
            </w:pPr>
            <w:r/>
            <w:r>
              <w:rPr>
                <w:b/>
                <w:sz w:val="17"/>
              </w:rPr>
              <w:t>Primary endpoint</w:t>
            </w:r>
          </w:p>
        </w:tc>
        <w:tc>
          <w:tcPr>
            <w:tcW w:type="dxa" w:w="7056"/>
          </w:tcPr>
          <w:p>
            <w:pPr>
              <w:spacing w:after="0" w:line="240" w:lineRule="auto"/>
            </w:pPr>
            <w:r/>
            <w:r>
              <w:rPr>
                <w:sz w:val="17"/>
              </w:rPr>
              <w:t>Change in disease activity at week 24: met (reduced disease activity with XB-7 compared with placebo)</w:t>
            </w:r>
          </w:p>
        </w:tc>
      </w:tr>
      <w:tr>
        <w:trPr>
          <w:cantSplit w:val="true"/>
        </w:trPr>
        <w:tc>
          <w:tcPr>
            <w:tcW w:type="dxa" w:w="2304"/>
          </w:tcPr>
          <w:p>
            <w:pPr>
              <w:spacing w:after="0" w:line="240" w:lineRule="auto"/>
            </w:pPr>
            <w:r/>
            <w:r>
              <w:rPr>
                <w:b/>
                <w:sz w:val="17"/>
              </w:rPr>
              <w:t>Exposure</w:t>
            </w:r>
          </w:p>
        </w:tc>
        <w:tc>
          <w:tcPr>
            <w:tcW w:type="dxa" w:w="7056"/>
          </w:tcPr>
          <w:p>
            <w:pPr>
              <w:spacing w:after="0" w:line="240" w:lineRule="auto"/>
            </w:pPr>
            <w:r/>
            <w:r>
              <w:rPr>
                <w:sz w:val="17"/>
              </w:rPr>
              <w:t>XB-7 194 subject-years; placebo 104 subject-years (treatment and safety follow-up)</w:t>
            </w:r>
          </w:p>
        </w:tc>
      </w:tr>
      <w:tr>
        <w:trPr>
          <w:cantSplit w:val="true"/>
        </w:trPr>
        <w:tc>
          <w:tcPr>
            <w:tcW w:type="dxa" w:w="2304"/>
          </w:tcPr>
          <w:p>
            <w:pPr>
              <w:spacing w:after="0" w:line="240" w:lineRule="auto"/>
            </w:pPr>
            <w:r/>
            <w:r>
              <w:rPr>
                <w:b/>
                <w:sz w:val="17"/>
              </w:rPr>
              <w:t>Serious infections</w:t>
            </w:r>
          </w:p>
        </w:tc>
        <w:tc>
          <w:tcPr>
            <w:tcW w:type="dxa" w:w="7056"/>
          </w:tcPr>
          <w:p>
            <w:pPr>
              <w:spacing w:after="0" w:line="240" w:lineRule="auto"/>
            </w:pPr>
            <w:r/>
            <w:r>
              <w:rPr>
                <w:sz w:val="17"/>
              </w:rPr>
              <w:t>XB-7 6 of 180 (3.3%; 3.1 per 100 subject-years); placebo 2 of 90 (2.2%; 1.9 per 100 subject-years). All bacterial respiratory or skin infections; none opportunistic; no tuberculosis</w:t>
            </w:r>
          </w:p>
        </w:tc>
      </w:tr>
      <w:tr>
        <w:trPr>
          <w:cantSplit w:val="true"/>
        </w:trPr>
        <w:tc>
          <w:tcPr>
            <w:tcW w:type="dxa" w:w="2304"/>
          </w:tcPr>
          <w:p>
            <w:pPr>
              <w:spacing w:after="0" w:line="240" w:lineRule="auto"/>
            </w:pPr>
            <w:r/>
            <w:r>
              <w:rPr>
                <w:b/>
                <w:sz w:val="17"/>
              </w:rPr>
              <w:t>Injection-site reactions</w:t>
            </w:r>
          </w:p>
        </w:tc>
        <w:tc>
          <w:tcPr>
            <w:tcW w:type="dxa" w:w="7056"/>
          </w:tcPr>
          <w:p>
            <w:pPr>
              <w:spacing w:after="0" w:line="240" w:lineRule="auto"/>
            </w:pPr>
            <w:r/>
            <w:r>
              <w:rPr>
                <w:sz w:val="17"/>
              </w:rPr>
              <w:t>XB-7 25 of 180 (14%); placebo 4 of 90 (4%); none serious</w:t>
            </w:r>
          </w:p>
        </w:tc>
      </w:tr>
      <w:tr>
        <w:trPr>
          <w:cantSplit w:val="true"/>
        </w:trPr>
        <w:tc>
          <w:tcPr>
            <w:tcW w:type="dxa" w:w="2304"/>
          </w:tcPr>
          <w:p>
            <w:pPr>
              <w:spacing w:after="0" w:line="240" w:lineRule="auto"/>
            </w:pPr>
            <w:r/>
            <w:r>
              <w:rPr>
                <w:b/>
                <w:sz w:val="17"/>
              </w:rPr>
              <w:t>Rash</w:t>
            </w:r>
          </w:p>
        </w:tc>
        <w:tc>
          <w:tcPr>
            <w:tcW w:type="dxa" w:w="7056"/>
          </w:tcPr>
          <w:p>
            <w:pPr>
              <w:spacing w:after="0" w:line="240" w:lineRule="auto"/>
            </w:pPr>
            <w:r/>
            <w:r>
              <w:rPr>
                <w:sz w:val="17"/>
              </w:rPr>
              <w:t>XB-7 22 of 180 (12%); placebo 9 of 90 (10%); none serious</w:t>
            </w:r>
          </w:p>
        </w:tc>
      </w:tr>
      <w:tr>
        <w:trPr>
          <w:cantSplit w:val="true"/>
        </w:trPr>
        <w:tc>
          <w:tcPr>
            <w:tcW w:type="dxa" w:w="2304"/>
          </w:tcPr>
          <w:p>
            <w:pPr>
              <w:spacing w:after="0" w:line="240" w:lineRule="auto"/>
            </w:pPr>
            <w:r/>
            <w:r>
              <w:rPr>
                <w:b/>
                <w:sz w:val="17"/>
              </w:rPr>
              <w:t>Serious hypersensitivity</w:t>
            </w:r>
          </w:p>
        </w:tc>
        <w:tc>
          <w:tcPr>
            <w:tcW w:type="dxa" w:w="7056"/>
          </w:tcPr>
          <w:p>
            <w:pPr>
              <w:spacing w:after="0" w:line="240" w:lineRule="auto"/>
            </w:pPr>
            <w:r/>
            <w:r>
              <w:rPr>
                <w:sz w:val="17"/>
              </w:rPr>
              <w:t>XB-7 1 (0.5 per 100 subject-years), resolved with treatment, assessed as not related (concomitant amoxicillin); placebo 0</w:t>
            </w:r>
          </w:p>
        </w:tc>
      </w:tr>
      <w:tr>
        <w:trPr>
          <w:cantSplit w:val="true"/>
        </w:trPr>
        <w:tc>
          <w:tcPr>
            <w:tcW w:type="dxa" w:w="2304"/>
          </w:tcPr>
          <w:p>
            <w:pPr>
              <w:spacing w:after="0" w:line="240" w:lineRule="auto"/>
            </w:pPr>
            <w:r/>
            <w:r>
              <w:rPr>
                <w:b/>
                <w:sz w:val="17"/>
              </w:rPr>
              <w:t>Deaths</w:t>
            </w:r>
          </w:p>
        </w:tc>
        <w:tc>
          <w:tcPr>
            <w:tcW w:type="dxa" w:w="7056"/>
          </w:tcPr>
          <w:p>
            <w:pPr>
              <w:spacing w:after="0" w:line="240" w:lineRule="auto"/>
            </w:pPr>
            <w:r/>
            <w:r>
              <w:rPr>
                <w:sz w:val="17"/>
              </w:rPr>
              <w:t>None</w:t>
            </w:r>
          </w:p>
        </w:tc>
      </w:tr>
      <w:tr>
        <w:trPr>
          <w:cantSplit w:val="true"/>
        </w:trPr>
        <w:tc>
          <w:tcPr>
            <w:tcW w:type="dxa" w:w="2304"/>
          </w:tcPr>
          <w:p>
            <w:pPr>
              <w:spacing w:after="0" w:line="240" w:lineRule="auto"/>
            </w:pPr>
            <w:r/>
            <w:r>
              <w:rPr>
                <w:b/>
                <w:sz w:val="17"/>
              </w:rPr>
              <w:t>Conclusion</w:t>
            </w:r>
          </w:p>
        </w:tc>
        <w:tc>
          <w:tcPr>
            <w:tcW w:type="dxa" w:w="7056"/>
          </w:tcPr>
          <w:p>
            <w:pPr>
              <w:spacing w:after="0" w:line="240" w:lineRule="auto"/>
            </w:pPr>
            <w:r/>
            <w:r>
              <w:rPr>
                <w:sz w:val="17"/>
              </w:rPr>
              <w:t>Primary endpoint met; safety consistent with the known profile; no new safety signal</w:t>
            </w:r>
          </w:p>
        </w:tc>
      </w:tr>
    </w:tbl>
    <w:p>
      <w:pPr>
        <w:spacing w:after="40"/>
      </w:pPr>
    </w:p>
    <w:p>
      <w:pPr>
        <w:pStyle w:val="Heading2"/>
      </w:pPr>
      <w:bookmarkStart w:id="1041" w:name="_Toc0042"/>
      <w:r>
        <w:t>Appendix 4. Cumulative Summary Tabulations of Demographic Data</w:t>
      </w:r>
      <w:bookmarkEnd w:id="1041"/>
    </w:p>
    <w:p>
      <w:pPr>
        <w:keepNext/>
        <w:spacing w:before="120" w:after="60"/>
      </w:pPr>
      <w:commentRangeStart w:id="71"/>
      <w:r>
        <w:rPr>
          <w:b/>
          <w:color w:val="1F3864"/>
          <w:sz w:val="19"/>
        </w:rPr>
        <w:t>Table A4-1. Cumulative subjects exposed since the DIBD, by age group, sex and racial group</w:t>
      </w:r>
      <w:commentRangeEnd w:id="71"/>
      <w:r>
        <w:rPr>
          <w:rStyle w:val="CommentReference"/>
        </w:rPr>
        <w:commentReference w:id="71"/>
      </w:r>
    </w:p>
    <w:tbl>
      <w:tblPr>
        <w:tblStyle w:val="TableGrid"/>
        <w:tblW w:type="dxa" w:w="8928"/>
        <w:jc w:val="center"/>
        <w:tblLayout w:type="fixed"/>
        <w:tblCellMar>
          <w:top w:w="30" w:type="dxa"/>
          <w:left w:w="70" w:type="dxa"/>
          <w:bottom w:w="30" w:type="dxa"/>
          <w:right w:w="70" w:type="dxa"/>
        </w:tblCellMar>
        <w:tblLook w:firstColumn="1" w:firstRow="1" w:lastColumn="0" w:lastRow="0" w:noHBand="0" w:noVBand="1" w:val="04A0"/>
      </w:tblPr>
      <w:tblGrid>
        <w:gridCol w:w="4608"/>
        <w:gridCol w:w="1440"/>
        <w:gridCol w:w="1440"/>
        <w:gridCol w:w="1440"/>
      </w:tblGrid>
      <w:tr>
        <w:trPr>
          <w:cantSplit w:val="true"/>
          <w:tblHeader w:val="true"/>
        </w:trPr>
        <w:tc>
          <w:tcPr>
            <w:tcW w:type="dxa" w:w="4608"/>
            <w:shd w:val="clear" w:color="auto" w:fill="E8EDF4"/>
          </w:tcPr>
          <w:p>
            <w:pPr>
              <w:spacing w:after="0" w:line="240" w:lineRule="auto"/>
            </w:pPr>
            <w:r/>
            <w:r>
              <w:rPr>
                <w:b/>
                <w:sz w:val="18"/>
              </w:rPr>
              <w:t>Category</w:t>
            </w:r>
          </w:p>
        </w:tc>
        <w:tc>
          <w:tcPr>
            <w:tcW w:type="dxa" w:w="1440"/>
            <w:shd w:val="clear" w:color="auto" w:fill="E8EDF4"/>
          </w:tcPr>
          <w:p>
            <w:pPr>
              <w:spacing w:after="0" w:line="240" w:lineRule="auto"/>
            </w:pPr>
            <w:r/>
            <w:r>
              <w:rPr>
                <w:b/>
                <w:sz w:val="18"/>
              </w:rPr>
              <w:t>XB-7</w:t>
            </w:r>
          </w:p>
        </w:tc>
        <w:tc>
          <w:tcPr>
            <w:tcW w:type="dxa" w:w="1440"/>
            <w:shd w:val="clear" w:color="auto" w:fill="E8EDF4"/>
          </w:tcPr>
          <w:p>
            <w:pPr>
              <w:spacing w:after="0" w:line="240" w:lineRule="auto"/>
            </w:pPr>
            <w:r/>
            <w:r>
              <w:rPr>
                <w:b/>
                <w:sz w:val="18"/>
              </w:rPr>
              <w:t>Placebo</w:t>
            </w:r>
          </w:p>
        </w:tc>
        <w:tc>
          <w:tcPr>
            <w:tcW w:type="dxa" w:w="1440"/>
            <w:shd w:val="clear" w:color="auto" w:fill="E8EDF4"/>
          </w:tcPr>
          <w:p>
            <w:pPr>
              <w:spacing w:after="0" w:line="240" w:lineRule="auto"/>
            </w:pPr>
            <w:r/>
            <w:r>
              <w:rPr>
                <w:b/>
                <w:sz w:val="18"/>
              </w:rPr>
              <w:t>Total</w:t>
            </w:r>
          </w:p>
        </w:tc>
      </w:tr>
      <w:tr>
        <w:trPr>
          <w:cantSplit w:val="true"/>
        </w:trPr>
        <w:tc>
          <w:tcPr>
            <w:tcW w:type="dxa" w:w="4608"/>
          </w:tcPr>
          <w:p>
            <w:pPr>
              <w:spacing w:after="0" w:line="240" w:lineRule="auto"/>
            </w:pPr>
            <w:r/>
            <w:r>
              <w:rPr>
                <w:sz w:val="18"/>
              </w:rPr>
              <w:t>Age 18 to 64 years</w:t>
            </w:r>
          </w:p>
        </w:tc>
        <w:tc>
          <w:tcPr>
            <w:tcW w:type="dxa" w:w="1440"/>
          </w:tcPr>
          <w:p>
            <w:pPr>
              <w:spacing w:after="0" w:line="240" w:lineRule="auto"/>
            </w:pPr>
            <w:r/>
            <w:r>
              <w:rPr>
                <w:sz w:val="18"/>
              </w:rPr>
              <w:t>300</w:t>
            </w:r>
          </w:p>
        </w:tc>
        <w:tc>
          <w:tcPr>
            <w:tcW w:type="dxa" w:w="1440"/>
          </w:tcPr>
          <w:p>
            <w:pPr>
              <w:spacing w:after="0" w:line="240" w:lineRule="auto"/>
            </w:pPr>
            <w:r/>
            <w:r>
              <w:rPr>
                <w:sz w:val="18"/>
              </w:rPr>
              <w:t>152</w:t>
            </w:r>
          </w:p>
        </w:tc>
        <w:tc>
          <w:tcPr>
            <w:tcW w:type="dxa" w:w="1440"/>
          </w:tcPr>
          <w:p>
            <w:pPr>
              <w:spacing w:after="0" w:line="240" w:lineRule="auto"/>
            </w:pPr>
            <w:r/>
            <w:r>
              <w:rPr>
                <w:sz w:val="18"/>
              </w:rPr>
              <w:t>452</w:t>
            </w:r>
          </w:p>
        </w:tc>
      </w:tr>
      <w:tr>
        <w:trPr>
          <w:cantSplit w:val="true"/>
        </w:trPr>
        <w:tc>
          <w:tcPr>
            <w:tcW w:type="dxa" w:w="4608"/>
          </w:tcPr>
          <w:p>
            <w:pPr>
              <w:spacing w:after="0" w:line="240" w:lineRule="auto"/>
            </w:pPr>
            <w:r/>
            <w:r>
              <w:rPr>
                <w:sz w:val="18"/>
              </w:rPr>
              <w:t>Age 65 to 74 years</w:t>
            </w:r>
          </w:p>
        </w:tc>
        <w:tc>
          <w:tcPr>
            <w:tcW w:type="dxa" w:w="1440"/>
          </w:tcPr>
          <w:p>
            <w:pPr>
              <w:spacing w:after="0" w:line="240" w:lineRule="auto"/>
            </w:pPr>
            <w:r/>
            <w:r>
              <w:rPr>
                <w:sz w:val="18"/>
              </w:rPr>
              <w:t>62</w:t>
            </w:r>
          </w:p>
        </w:tc>
        <w:tc>
          <w:tcPr>
            <w:tcW w:type="dxa" w:w="1440"/>
          </w:tcPr>
          <w:p>
            <w:pPr>
              <w:spacing w:after="0" w:line="240" w:lineRule="auto"/>
            </w:pPr>
            <w:r/>
            <w:r>
              <w:rPr>
                <w:sz w:val="18"/>
              </w:rPr>
              <w:t>30</w:t>
            </w:r>
          </w:p>
        </w:tc>
        <w:tc>
          <w:tcPr>
            <w:tcW w:type="dxa" w:w="1440"/>
          </w:tcPr>
          <w:p>
            <w:pPr>
              <w:spacing w:after="0" w:line="240" w:lineRule="auto"/>
            </w:pPr>
            <w:r/>
            <w:r>
              <w:rPr>
                <w:sz w:val="18"/>
              </w:rPr>
              <w:t>92</w:t>
            </w:r>
          </w:p>
        </w:tc>
      </w:tr>
      <w:tr>
        <w:trPr>
          <w:cantSplit w:val="true"/>
        </w:trPr>
        <w:tc>
          <w:tcPr>
            <w:tcW w:type="dxa" w:w="4608"/>
          </w:tcPr>
          <w:p>
            <w:pPr>
              <w:spacing w:after="0" w:line="240" w:lineRule="auto"/>
            </w:pPr>
            <w:r/>
            <w:r>
              <w:rPr>
                <w:sz w:val="18"/>
              </w:rPr>
              <w:t>Age 75 years and older</w:t>
            </w:r>
          </w:p>
        </w:tc>
        <w:tc>
          <w:tcPr>
            <w:tcW w:type="dxa" w:w="1440"/>
          </w:tcPr>
          <w:p>
            <w:pPr>
              <w:spacing w:after="0" w:line="240" w:lineRule="auto"/>
            </w:pPr>
            <w:r/>
            <w:r>
              <w:rPr>
                <w:sz w:val="18"/>
              </w:rPr>
              <w:t>18</w:t>
            </w:r>
          </w:p>
        </w:tc>
        <w:tc>
          <w:tcPr>
            <w:tcW w:type="dxa" w:w="1440"/>
          </w:tcPr>
          <w:p>
            <w:pPr>
              <w:spacing w:after="0" w:line="240" w:lineRule="auto"/>
            </w:pPr>
            <w:r/>
            <w:r>
              <w:rPr>
                <w:sz w:val="18"/>
              </w:rPr>
              <w:t>8</w:t>
            </w:r>
          </w:p>
        </w:tc>
        <w:tc>
          <w:tcPr>
            <w:tcW w:type="dxa" w:w="1440"/>
          </w:tcPr>
          <w:p>
            <w:pPr>
              <w:spacing w:after="0" w:line="240" w:lineRule="auto"/>
            </w:pPr>
            <w:r/>
            <w:r>
              <w:rPr>
                <w:sz w:val="18"/>
              </w:rPr>
              <w:t>26</w:t>
            </w:r>
          </w:p>
        </w:tc>
      </w:tr>
      <w:tr>
        <w:trPr>
          <w:cantSplit w:val="true"/>
        </w:trPr>
        <w:tc>
          <w:tcPr>
            <w:tcW w:type="dxa" w:w="4608"/>
          </w:tcPr>
          <w:p>
            <w:pPr>
              <w:spacing w:after="0" w:line="240" w:lineRule="auto"/>
            </w:pPr>
            <w:r/>
            <w:r>
              <w:rPr>
                <w:sz w:val="18"/>
              </w:rPr>
              <w:t>Female</w:t>
            </w:r>
          </w:p>
        </w:tc>
        <w:tc>
          <w:tcPr>
            <w:tcW w:type="dxa" w:w="1440"/>
          </w:tcPr>
          <w:p>
            <w:pPr>
              <w:spacing w:after="0" w:line="240" w:lineRule="auto"/>
            </w:pPr>
            <w:r/>
            <w:r>
              <w:rPr>
                <w:sz w:val="18"/>
              </w:rPr>
              <w:t>228</w:t>
            </w:r>
          </w:p>
        </w:tc>
        <w:tc>
          <w:tcPr>
            <w:tcW w:type="dxa" w:w="1440"/>
          </w:tcPr>
          <w:p>
            <w:pPr>
              <w:spacing w:after="0" w:line="240" w:lineRule="auto"/>
            </w:pPr>
            <w:r/>
            <w:r>
              <w:rPr>
                <w:sz w:val="18"/>
              </w:rPr>
              <w:t>114</w:t>
            </w:r>
          </w:p>
        </w:tc>
        <w:tc>
          <w:tcPr>
            <w:tcW w:type="dxa" w:w="1440"/>
          </w:tcPr>
          <w:p>
            <w:pPr>
              <w:spacing w:after="0" w:line="240" w:lineRule="auto"/>
            </w:pPr>
            <w:r/>
            <w:r>
              <w:rPr>
                <w:sz w:val="18"/>
              </w:rPr>
              <w:t>342</w:t>
            </w:r>
          </w:p>
        </w:tc>
      </w:tr>
      <w:tr>
        <w:trPr>
          <w:cantSplit w:val="true"/>
        </w:trPr>
        <w:tc>
          <w:tcPr>
            <w:tcW w:type="dxa" w:w="4608"/>
          </w:tcPr>
          <w:p>
            <w:pPr>
              <w:spacing w:after="0" w:line="240" w:lineRule="auto"/>
            </w:pPr>
            <w:r/>
            <w:r>
              <w:rPr>
                <w:sz w:val="18"/>
              </w:rPr>
              <w:t>Male</w:t>
            </w:r>
          </w:p>
        </w:tc>
        <w:tc>
          <w:tcPr>
            <w:tcW w:type="dxa" w:w="1440"/>
          </w:tcPr>
          <w:p>
            <w:pPr>
              <w:spacing w:after="0" w:line="240" w:lineRule="auto"/>
            </w:pPr>
            <w:r/>
            <w:r>
              <w:rPr>
                <w:sz w:val="18"/>
              </w:rPr>
              <w:t>152</w:t>
            </w:r>
          </w:p>
        </w:tc>
        <w:tc>
          <w:tcPr>
            <w:tcW w:type="dxa" w:w="1440"/>
          </w:tcPr>
          <w:p>
            <w:pPr>
              <w:spacing w:after="0" w:line="240" w:lineRule="auto"/>
            </w:pPr>
            <w:r/>
            <w:r>
              <w:rPr>
                <w:sz w:val="18"/>
              </w:rPr>
              <w:t>76</w:t>
            </w:r>
          </w:p>
        </w:tc>
        <w:tc>
          <w:tcPr>
            <w:tcW w:type="dxa" w:w="1440"/>
          </w:tcPr>
          <w:p>
            <w:pPr>
              <w:spacing w:after="0" w:line="240" w:lineRule="auto"/>
            </w:pPr>
            <w:r/>
            <w:r>
              <w:rPr>
                <w:sz w:val="18"/>
              </w:rPr>
              <w:t>228</w:t>
            </w:r>
          </w:p>
        </w:tc>
      </w:tr>
      <w:tr>
        <w:trPr>
          <w:cantSplit w:val="true"/>
        </w:trPr>
        <w:tc>
          <w:tcPr>
            <w:tcW w:type="dxa" w:w="4608"/>
          </w:tcPr>
          <w:p>
            <w:pPr>
              <w:spacing w:after="0" w:line="240" w:lineRule="auto"/>
            </w:pPr>
            <w:r/>
            <w:r>
              <w:rPr>
                <w:sz w:val="18"/>
              </w:rPr>
              <w:t>White</w:t>
            </w:r>
          </w:p>
        </w:tc>
        <w:tc>
          <w:tcPr>
            <w:tcW w:type="dxa" w:w="1440"/>
          </w:tcPr>
          <w:p>
            <w:pPr>
              <w:spacing w:after="0" w:line="240" w:lineRule="auto"/>
            </w:pPr>
            <w:r/>
            <w:r>
              <w:rPr>
                <w:sz w:val="18"/>
              </w:rPr>
              <w:t>296</w:t>
            </w:r>
          </w:p>
        </w:tc>
        <w:tc>
          <w:tcPr>
            <w:tcW w:type="dxa" w:w="1440"/>
          </w:tcPr>
          <w:p>
            <w:pPr>
              <w:spacing w:after="0" w:line="240" w:lineRule="auto"/>
            </w:pPr>
            <w:r/>
            <w:r>
              <w:rPr>
                <w:sz w:val="18"/>
              </w:rPr>
              <w:t>148</w:t>
            </w:r>
          </w:p>
        </w:tc>
        <w:tc>
          <w:tcPr>
            <w:tcW w:type="dxa" w:w="1440"/>
          </w:tcPr>
          <w:p>
            <w:pPr>
              <w:spacing w:after="0" w:line="240" w:lineRule="auto"/>
            </w:pPr>
            <w:r/>
            <w:r>
              <w:rPr>
                <w:sz w:val="18"/>
              </w:rPr>
              <w:t>444</w:t>
            </w:r>
          </w:p>
        </w:tc>
      </w:tr>
      <w:tr>
        <w:trPr>
          <w:cantSplit w:val="true"/>
        </w:trPr>
        <w:tc>
          <w:tcPr>
            <w:tcW w:type="dxa" w:w="4608"/>
          </w:tcPr>
          <w:p>
            <w:pPr>
              <w:spacing w:after="0" w:line="240" w:lineRule="auto"/>
            </w:pPr>
            <w:r/>
            <w:r>
              <w:rPr>
                <w:sz w:val="18"/>
              </w:rPr>
              <w:t>Black or African American</w:t>
            </w:r>
          </w:p>
        </w:tc>
        <w:tc>
          <w:tcPr>
            <w:tcW w:type="dxa" w:w="1440"/>
          </w:tcPr>
          <w:p>
            <w:pPr>
              <w:spacing w:after="0" w:line="240" w:lineRule="auto"/>
            </w:pPr>
            <w:r/>
            <w:r>
              <w:rPr>
                <w:sz w:val="18"/>
              </w:rPr>
              <w:t>30</w:t>
            </w:r>
          </w:p>
        </w:tc>
        <w:tc>
          <w:tcPr>
            <w:tcW w:type="dxa" w:w="1440"/>
          </w:tcPr>
          <w:p>
            <w:pPr>
              <w:spacing w:after="0" w:line="240" w:lineRule="auto"/>
            </w:pPr>
            <w:r/>
            <w:r>
              <w:rPr>
                <w:sz w:val="18"/>
              </w:rPr>
              <w:t>15</w:t>
            </w:r>
          </w:p>
        </w:tc>
        <w:tc>
          <w:tcPr>
            <w:tcW w:type="dxa" w:w="1440"/>
          </w:tcPr>
          <w:p>
            <w:pPr>
              <w:spacing w:after="0" w:line="240" w:lineRule="auto"/>
            </w:pPr>
            <w:r/>
            <w:r>
              <w:rPr>
                <w:sz w:val="18"/>
              </w:rPr>
              <w:t>45</w:t>
            </w:r>
          </w:p>
        </w:tc>
      </w:tr>
      <w:tr>
        <w:trPr>
          <w:cantSplit w:val="true"/>
        </w:trPr>
        <w:tc>
          <w:tcPr>
            <w:tcW w:type="dxa" w:w="4608"/>
          </w:tcPr>
          <w:p>
            <w:pPr>
              <w:spacing w:after="0" w:line="240" w:lineRule="auto"/>
            </w:pPr>
            <w:r/>
            <w:r>
              <w:rPr>
                <w:sz w:val="18"/>
              </w:rPr>
              <w:t>Asian</w:t>
            </w:r>
          </w:p>
        </w:tc>
        <w:tc>
          <w:tcPr>
            <w:tcW w:type="dxa" w:w="1440"/>
          </w:tcPr>
          <w:p>
            <w:pPr>
              <w:spacing w:after="0" w:line="240" w:lineRule="auto"/>
            </w:pPr>
            <w:r/>
            <w:r>
              <w:rPr>
                <w:sz w:val="18"/>
              </w:rPr>
              <w:t>38</w:t>
            </w:r>
          </w:p>
        </w:tc>
        <w:tc>
          <w:tcPr>
            <w:tcW w:type="dxa" w:w="1440"/>
          </w:tcPr>
          <w:p>
            <w:pPr>
              <w:spacing w:after="0" w:line="240" w:lineRule="auto"/>
            </w:pPr>
            <w:r/>
            <w:r>
              <w:rPr>
                <w:sz w:val="18"/>
              </w:rPr>
              <w:t>19</w:t>
            </w:r>
          </w:p>
        </w:tc>
        <w:tc>
          <w:tcPr>
            <w:tcW w:type="dxa" w:w="1440"/>
          </w:tcPr>
          <w:p>
            <w:pPr>
              <w:spacing w:after="0" w:line="240" w:lineRule="auto"/>
            </w:pPr>
            <w:r/>
            <w:r>
              <w:rPr>
                <w:sz w:val="18"/>
              </w:rPr>
              <w:t>57</w:t>
            </w:r>
          </w:p>
        </w:tc>
      </w:tr>
      <w:tr>
        <w:trPr>
          <w:cantSplit w:val="true"/>
        </w:trPr>
        <w:tc>
          <w:tcPr>
            <w:tcW w:type="dxa" w:w="4608"/>
          </w:tcPr>
          <w:p>
            <w:pPr>
              <w:spacing w:after="0" w:line="240" w:lineRule="auto"/>
            </w:pPr>
            <w:r/>
            <w:r>
              <w:rPr>
                <w:sz w:val="18"/>
              </w:rPr>
              <w:t>Other or not reported</w:t>
            </w:r>
          </w:p>
        </w:tc>
        <w:tc>
          <w:tcPr>
            <w:tcW w:type="dxa" w:w="1440"/>
          </w:tcPr>
          <w:p>
            <w:pPr>
              <w:spacing w:after="0" w:line="240" w:lineRule="auto"/>
            </w:pPr>
            <w:r/>
            <w:r>
              <w:rPr>
                <w:sz w:val="18"/>
              </w:rPr>
              <w:t>16</w:t>
            </w:r>
          </w:p>
        </w:tc>
        <w:tc>
          <w:tcPr>
            <w:tcW w:type="dxa" w:w="1440"/>
          </w:tcPr>
          <w:p>
            <w:pPr>
              <w:spacing w:after="0" w:line="240" w:lineRule="auto"/>
            </w:pPr>
            <w:r/>
            <w:r>
              <w:rPr>
                <w:sz w:val="18"/>
              </w:rPr>
              <w:t>8</w:t>
            </w:r>
          </w:p>
        </w:tc>
        <w:tc>
          <w:tcPr>
            <w:tcW w:type="dxa" w:w="1440"/>
          </w:tcPr>
          <w:p>
            <w:pPr>
              <w:spacing w:after="0" w:line="240" w:lineRule="auto"/>
            </w:pPr>
            <w:r/>
            <w:r>
              <w:rPr>
                <w:sz w:val="18"/>
              </w:rPr>
              <w:t>24</w:t>
            </w:r>
          </w:p>
        </w:tc>
      </w:tr>
    </w:tbl>
    <w:p>
      <w:pPr>
        <w:spacing w:after="40"/>
      </w:pPr>
    </w:p>
    <w:p>
      <w:pPr>
        <w:spacing w:after="40"/>
      </w:pPr>
      <w:r>
        <w:rPr>
          <w:i/>
          <w:sz w:val="16"/>
        </w:rPr>
        <w:t>XB-201 counts are actual. XB-301 counts by arm are estimated by applying the 2:1 randomization ratio to the trial's demographic totals (Table A4-2) and rounded to whole subjects; no data were unblinded. XB-302 subjects are counted in their parent trials.</w:t>
      </w:r>
    </w:p>
    <w:p>
      <w:pPr>
        <w:keepNext/>
        <w:spacing w:before="120" w:after="60"/>
      </w:pPr>
      <w:commentRangeStart w:id="72"/>
      <w:r>
        <w:rPr>
          <w:b/>
          <w:color w:val="1F3864"/>
          <w:sz w:val="19"/>
        </w:rPr>
        <w:t>Table A4-2. Demographic characteristics of the pivotal trial XB-301 (all randomized subjects, blinded)</w:t>
      </w:r>
      <w:commentRangeEnd w:id="72"/>
      <w:r>
        <w:rPr>
          <w:rStyle w:val="CommentReference"/>
        </w:rPr>
        <w:commentReference w:id="72"/>
      </w:r>
    </w:p>
    <w:tbl>
      <w:tblPr>
        <w:tblStyle w:val="TableGrid"/>
        <w:tblW w:type="dxa" w:w="8063"/>
        <w:jc w:val="center"/>
        <w:tblLayout w:type="fixed"/>
        <w:tblCellMar>
          <w:top w:w="30" w:type="dxa"/>
          <w:left w:w="70" w:type="dxa"/>
          <w:bottom w:w="30" w:type="dxa"/>
          <w:right w:w="70" w:type="dxa"/>
        </w:tblCellMar>
        <w:tblLook w:firstColumn="1" w:firstRow="1" w:lastColumn="0" w:lastRow="0" w:noHBand="0" w:noVBand="1" w:val="04A0"/>
      </w:tblPr>
      <w:tblGrid>
        <w:gridCol w:w="5184"/>
        <w:gridCol w:w="2880"/>
      </w:tblGrid>
      <w:tr>
        <w:trPr>
          <w:cantSplit w:val="true"/>
          <w:tblHeader w:val="true"/>
        </w:trPr>
        <w:tc>
          <w:tcPr>
            <w:tcW w:type="dxa" w:w="5184"/>
            <w:shd w:val="clear" w:color="auto" w:fill="E8EDF4"/>
          </w:tcPr>
          <w:p>
            <w:pPr>
              <w:spacing w:after="0" w:line="240" w:lineRule="auto"/>
            </w:pPr>
            <w:r/>
            <w:r>
              <w:rPr>
                <w:b/>
                <w:sz w:val="18"/>
              </w:rPr>
              <w:t>Characteristic</w:t>
            </w:r>
          </w:p>
        </w:tc>
        <w:tc>
          <w:tcPr>
            <w:tcW w:type="dxa" w:w="2880"/>
            <w:shd w:val="clear" w:color="auto" w:fill="E8EDF4"/>
          </w:tcPr>
          <w:p>
            <w:pPr>
              <w:spacing w:after="0" w:line="240" w:lineRule="auto"/>
            </w:pPr>
            <w:r/>
            <w:r>
              <w:rPr>
                <w:b/>
                <w:sz w:val="18"/>
              </w:rPr>
              <w:t>XB-301 (N = 300)</w:t>
            </w:r>
          </w:p>
        </w:tc>
      </w:tr>
      <w:tr>
        <w:trPr>
          <w:cantSplit w:val="true"/>
        </w:trPr>
        <w:tc>
          <w:tcPr>
            <w:tcW w:type="dxa" w:w="5184"/>
          </w:tcPr>
          <w:p>
            <w:pPr>
              <w:spacing w:after="0" w:line="240" w:lineRule="auto"/>
            </w:pPr>
            <w:r/>
            <w:r>
              <w:rPr>
                <w:sz w:val="18"/>
              </w:rPr>
              <w:t>Randomized</w:t>
            </w:r>
          </w:p>
        </w:tc>
        <w:tc>
          <w:tcPr>
            <w:tcW w:type="dxa" w:w="2880"/>
          </w:tcPr>
          <w:p>
            <w:pPr>
              <w:spacing w:after="0" w:line="240" w:lineRule="auto"/>
            </w:pPr>
            <w:r/>
            <w:r>
              <w:rPr>
                <w:sz w:val="18"/>
              </w:rPr>
              <w:t>300</w:t>
            </w:r>
          </w:p>
        </w:tc>
      </w:tr>
      <w:tr>
        <w:trPr>
          <w:cantSplit w:val="true"/>
        </w:trPr>
        <w:tc>
          <w:tcPr>
            <w:tcW w:type="dxa" w:w="5184"/>
          </w:tcPr>
          <w:p>
            <w:pPr>
              <w:spacing w:after="0" w:line="240" w:lineRule="auto"/>
            </w:pPr>
            <w:r/>
            <w:r>
              <w:rPr>
                <w:sz w:val="18"/>
              </w:rPr>
              <w:t>Age, mean (SD), years</w:t>
            </w:r>
          </w:p>
        </w:tc>
        <w:tc>
          <w:tcPr>
            <w:tcW w:type="dxa" w:w="2880"/>
          </w:tcPr>
          <w:p>
            <w:pPr>
              <w:spacing w:after="0" w:line="240" w:lineRule="auto"/>
            </w:pPr>
            <w:r/>
            <w:r>
              <w:rPr>
                <w:sz w:val="18"/>
              </w:rPr>
              <w:t>52.4 (13.1)</w:t>
            </w:r>
          </w:p>
        </w:tc>
      </w:tr>
      <w:tr>
        <w:trPr>
          <w:cantSplit w:val="true"/>
        </w:trPr>
        <w:tc>
          <w:tcPr>
            <w:tcW w:type="dxa" w:w="5184"/>
          </w:tcPr>
          <w:p>
            <w:pPr>
              <w:spacing w:after="0" w:line="240" w:lineRule="auto"/>
            </w:pPr>
            <w:r/>
            <w:r>
              <w:rPr>
                <w:sz w:val="18"/>
              </w:rPr>
              <w:t>Age 18 to 64 years</w:t>
            </w:r>
          </w:p>
        </w:tc>
        <w:tc>
          <w:tcPr>
            <w:tcW w:type="dxa" w:w="2880"/>
          </w:tcPr>
          <w:p>
            <w:pPr>
              <w:spacing w:after="0" w:line="240" w:lineRule="auto"/>
            </w:pPr>
            <w:r/>
            <w:r>
              <w:rPr>
                <w:sz w:val="18"/>
              </w:rPr>
              <w:t>236 (78.7%)</w:t>
            </w:r>
          </w:p>
        </w:tc>
      </w:tr>
      <w:tr>
        <w:trPr>
          <w:cantSplit w:val="true"/>
        </w:trPr>
        <w:tc>
          <w:tcPr>
            <w:tcW w:type="dxa" w:w="5184"/>
          </w:tcPr>
          <w:p>
            <w:pPr>
              <w:spacing w:after="0" w:line="240" w:lineRule="auto"/>
            </w:pPr>
            <w:r/>
            <w:r>
              <w:rPr>
                <w:sz w:val="18"/>
              </w:rPr>
              <w:t>Age 65 to 74 years</w:t>
            </w:r>
          </w:p>
        </w:tc>
        <w:tc>
          <w:tcPr>
            <w:tcW w:type="dxa" w:w="2880"/>
          </w:tcPr>
          <w:p>
            <w:pPr>
              <w:spacing w:after="0" w:line="240" w:lineRule="auto"/>
            </w:pPr>
            <w:r/>
            <w:r>
              <w:rPr>
                <w:sz w:val="18"/>
              </w:rPr>
              <w:t>50 (16.7%)</w:t>
            </w:r>
          </w:p>
        </w:tc>
      </w:tr>
      <w:tr>
        <w:trPr>
          <w:cantSplit w:val="true"/>
        </w:trPr>
        <w:tc>
          <w:tcPr>
            <w:tcW w:type="dxa" w:w="5184"/>
          </w:tcPr>
          <w:p>
            <w:pPr>
              <w:spacing w:after="0" w:line="240" w:lineRule="auto"/>
            </w:pPr>
            <w:r/>
            <w:r>
              <w:rPr>
                <w:sz w:val="18"/>
              </w:rPr>
              <w:t>Age 75 years and older</w:t>
            </w:r>
          </w:p>
        </w:tc>
        <w:tc>
          <w:tcPr>
            <w:tcW w:type="dxa" w:w="2880"/>
          </w:tcPr>
          <w:p>
            <w:pPr>
              <w:spacing w:after="0" w:line="240" w:lineRule="auto"/>
            </w:pPr>
            <w:r/>
            <w:r>
              <w:rPr>
                <w:sz w:val="18"/>
              </w:rPr>
              <w:t>14 (4.7%)</w:t>
            </w:r>
          </w:p>
        </w:tc>
      </w:tr>
      <w:tr>
        <w:trPr>
          <w:cantSplit w:val="true"/>
        </w:trPr>
        <w:tc>
          <w:tcPr>
            <w:tcW w:type="dxa" w:w="5184"/>
          </w:tcPr>
          <w:p>
            <w:pPr>
              <w:spacing w:after="0" w:line="240" w:lineRule="auto"/>
            </w:pPr>
            <w:r/>
            <w:r>
              <w:rPr>
                <w:sz w:val="18"/>
              </w:rPr>
              <w:t>Female</w:t>
            </w:r>
          </w:p>
        </w:tc>
        <w:tc>
          <w:tcPr>
            <w:tcW w:type="dxa" w:w="2880"/>
          </w:tcPr>
          <w:p>
            <w:pPr>
              <w:spacing w:after="0" w:line="240" w:lineRule="auto"/>
            </w:pPr>
            <w:r/>
            <w:r>
              <w:rPr>
                <w:sz w:val="18"/>
              </w:rPr>
              <w:t>182 (60.7%)</w:t>
            </w:r>
          </w:p>
        </w:tc>
      </w:tr>
      <w:tr>
        <w:trPr>
          <w:cantSplit w:val="true"/>
        </w:trPr>
        <w:tc>
          <w:tcPr>
            <w:tcW w:type="dxa" w:w="5184"/>
          </w:tcPr>
          <w:p>
            <w:pPr>
              <w:spacing w:after="0" w:line="240" w:lineRule="auto"/>
            </w:pPr>
            <w:r/>
            <w:r>
              <w:rPr>
                <w:sz w:val="18"/>
              </w:rPr>
              <w:t>Male</w:t>
            </w:r>
          </w:p>
        </w:tc>
        <w:tc>
          <w:tcPr>
            <w:tcW w:type="dxa" w:w="2880"/>
          </w:tcPr>
          <w:p>
            <w:pPr>
              <w:spacing w:after="0" w:line="240" w:lineRule="auto"/>
            </w:pPr>
            <w:r/>
            <w:r>
              <w:rPr>
                <w:sz w:val="18"/>
              </w:rPr>
              <w:t>118 (39.3%)</w:t>
            </w:r>
          </w:p>
        </w:tc>
      </w:tr>
      <w:tr>
        <w:trPr>
          <w:cantSplit w:val="true"/>
        </w:trPr>
        <w:tc>
          <w:tcPr>
            <w:tcW w:type="dxa" w:w="5184"/>
          </w:tcPr>
          <w:p>
            <w:pPr>
              <w:spacing w:after="0" w:line="240" w:lineRule="auto"/>
            </w:pPr>
            <w:r/>
            <w:r>
              <w:rPr>
                <w:sz w:val="18"/>
              </w:rPr>
              <w:t>White</w:t>
            </w:r>
          </w:p>
        </w:tc>
        <w:tc>
          <w:tcPr>
            <w:tcW w:type="dxa" w:w="2880"/>
          </w:tcPr>
          <w:p>
            <w:pPr>
              <w:spacing w:after="0" w:line="240" w:lineRule="auto"/>
            </w:pPr>
            <w:r/>
            <w:r>
              <w:rPr>
                <w:sz w:val="18"/>
              </w:rPr>
              <w:t>236 (78.7%)</w:t>
            </w:r>
          </w:p>
        </w:tc>
      </w:tr>
      <w:tr>
        <w:trPr>
          <w:cantSplit w:val="true"/>
        </w:trPr>
        <w:tc>
          <w:tcPr>
            <w:tcW w:type="dxa" w:w="5184"/>
          </w:tcPr>
          <w:p>
            <w:pPr>
              <w:spacing w:after="0" w:line="240" w:lineRule="auto"/>
            </w:pPr>
            <w:r/>
            <w:r>
              <w:rPr>
                <w:sz w:val="18"/>
              </w:rPr>
              <w:t>Black or African American</w:t>
            </w:r>
          </w:p>
        </w:tc>
        <w:tc>
          <w:tcPr>
            <w:tcW w:type="dxa" w:w="2880"/>
          </w:tcPr>
          <w:p>
            <w:pPr>
              <w:spacing w:after="0" w:line="240" w:lineRule="auto"/>
            </w:pPr>
            <w:r/>
            <w:r>
              <w:rPr>
                <w:sz w:val="18"/>
              </w:rPr>
              <w:t>22 (7.3%)</w:t>
            </w:r>
          </w:p>
        </w:tc>
      </w:tr>
      <w:tr>
        <w:trPr>
          <w:cantSplit w:val="true"/>
        </w:trPr>
        <w:tc>
          <w:tcPr>
            <w:tcW w:type="dxa" w:w="5184"/>
          </w:tcPr>
          <w:p>
            <w:pPr>
              <w:spacing w:after="0" w:line="240" w:lineRule="auto"/>
            </w:pPr>
            <w:r/>
            <w:r>
              <w:rPr>
                <w:sz w:val="18"/>
              </w:rPr>
              <w:t>Asian</w:t>
            </w:r>
          </w:p>
        </w:tc>
        <w:tc>
          <w:tcPr>
            <w:tcW w:type="dxa" w:w="2880"/>
          </w:tcPr>
          <w:p>
            <w:pPr>
              <w:spacing w:after="0" w:line="240" w:lineRule="auto"/>
            </w:pPr>
            <w:r/>
            <w:r>
              <w:rPr>
                <w:sz w:val="18"/>
              </w:rPr>
              <w:t>30 (10.0%)</w:t>
            </w:r>
          </w:p>
        </w:tc>
      </w:tr>
      <w:tr>
        <w:trPr>
          <w:cantSplit w:val="true"/>
        </w:trPr>
        <w:tc>
          <w:tcPr>
            <w:tcW w:type="dxa" w:w="5184"/>
          </w:tcPr>
          <w:p>
            <w:pPr>
              <w:spacing w:after="0" w:line="240" w:lineRule="auto"/>
            </w:pPr>
            <w:r/>
            <w:r>
              <w:rPr>
                <w:sz w:val="18"/>
              </w:rPr>
              <w:t>Other or not reported</w:t>
            </w:r>
          </w:p>
        </w:tc>
        <w:tc>
          <w:tcPr>
            <w:tcW w:type="dxa" w:w="2880"/>
          </w:tcPr>
          <w:p>
            <w:pPr>
              <w:spacing w:after="0" w:line="240" w:lineRule="auto"/>
            </w:pPr>
            <w:r/>
            <w:r>
              <w:rPr>
                <w:sz w:val="18"/>
              </w:rPr>
              <w:t>12 (4.0%)</w:t>
            </w:r>
          </w:p>
        </w:tc>
      </w:tr>
      <w:tr>
        <w:trPr>
          <w:cantSplit w:val="true"/>
        </w:trPr>
        <w:tc>
          <w:tcPr>
            <w:tcW w:type="dxa" w:w="5184"/>
          </w:tcPr>
          <w:p>
            <w:pPr>
              <w:spacing w:after="0" w:line="240" w:lineRule="auto"/>
            </w:pPr>
            <w:r/>
            <w:r>
              <w:rPr>
                <w:sz w:val="18"/>
              </w:rPr>
              <w:t>Receiving systemic corticosteroids at baseline</w:t>
            </w:r>
          </w:p>
        </w:tc>
        <w:tc>
          <w:tcPr>
            <w:tcW w:type="dxa" w:w="2880"/>
          </w:tcPr>
          <w:p>
            <w:pPr>
              <w:spacing w:after="0" w:line="240" w:lineRule="auto"/>
            </w:pPr>
            <w:r/>
            <w:r>
              <w:rPr>
                <w:sz w:val="18"/>
              </w:rPr>
              <w:t>93 (31.0%)</w:t>
            </w:r>
          </w:p>
        </w:tc>
      </w:tr>
    </w:tbl>
    <w:p>
      <w:pPr>
        <w:spacing w:after="40"/>
      </w:pPr>
    </w:p>
    <w:p>
      <w:pPr>
        <w:sectPr>
          <w:headerReference w:type="default" r:id="rId9"/>
          <w:footerReference w:type="default" r:id="rId10"/>
          <w:footerReference w:type="first" r:id="rId11"/>
          <w:pgSz w:w="12240" w:h="15840"/>
          <w:pgMar w:top="1296" w:right="1440" w:bottom="1296" w:left="1440" w:header="576" w:footer="504" w:gutter="0"/>
          <w:cols w:space="720"/>
          <w:titlePg/>
          <w:docGrid w:linePitch="360"/>
        </w:sectPr>
      </w:pPr>
    </w:p>
    <w:p>
      <w:pPr>
        <w:pStyle w:val="Heading2"/>
      </w:pPr>
      <w:bookmarkStart w:id="1042" w:name="_Toc0043"/>
      <w:r>
        <w:t>Appendix 5. Line Listings of Serious Adverse Reactions</w:t>
      </w:r>
      <w:bookmarkEnd w:id="1042"/>
    </w:p>
    <w:p>
      <w:commentRangeStart w:id="73"/>
      <w:r>
        <w:rPr>
          <w:i w:val="0"/>
          <w:sz w:val="18"/>
        </w:rPr>
        <w:t>Interval line listing of serious adverse reactions, 2 September 2025 to 1 September 2026 (case selection rule in Section 7.2). Ordered by trial, then System Organ Class (all Infections and infestations). MedDRA version 29.0. Reactions marked † are unexpected under IB Edition 5. Time to onset is counted from the first dose of study treatment in the trial (day 1); XB-302 treatment dates are those in the extension. Total: 11 serious adverse reactions (XB-301, 7; XB-302, 4).</w:t>
      </w:r>
      <w:commentRangeEnd w:id="73"/>
      <w:r>
        <w:rPr>
          <w:rStyle w:val="CommentReference"/>
        </w:rPr>
        <w:commentReference w:id="73"/>
      </w:r>
    </w:p>
    <w:tbl>
      <w:tblPr>
        <w:tblStyle w:val="TableGrid"/>
        <w:tblW w:type="dxa" w:w="13391"/>
        <w:jc w:val="center"/>
        <w:tblLayout w:type="fixed"/>
        <w:tblCellMar>
          <w:top w:w="30" w:type="dxa"/>
          <w:left w:w="70" w:type="dxa"/>
          <w:bottom w:w="30" w:type="dxa"/>
          <w:right w:w="70" w:type="dxa"/>
        </w:tblCellMar>
        <w:tblLook w:firstColumn="1" w:firstRow="1" w:lastColumn="0" w:lastRow="0" w:noHBand="0" w:noVBand="1" w:val="04A0"/>
      </w:tblPr>
      <w:tblGrid>
        <w:gridCol w:w="1368"/>
        <w:gridCol w:w="792"/>
        <w:gridCol w:w="1152"/>
        <w:gridCol w:w="936"/>
        <w:gridCol w:w="648"/>
        <w:gridCol w:w="1152"/>
        <w:gridCol w:w="1152"/>
        <w:gridCol w:w="720"/>
        <w:gridCol w:w="1440"/>
        <w:gridCol w:w="1080"/>
        <w:gridCol w:w="864"/>
        <w:gridCol w:w="2088"/>
      </w:tblGrid>
      <w:tr>
        <w:trPr>
          <w:cantSplit w:val="true"/>
          <w:tblHeader w:val="true"/>
        </w:trPr>
        <w:tc>
          <w:tcPr>
            <w:tcW w:type="dxa" w:w="1368"/>
            <w:shd w:val="clear" w:color="auto" w:fill="E8EDF4"/>
          </w:tcPr>
          <w:p>
            <w:pPr>
              <w:spacing w:after="0" w:line="240" w:lineRule="auto"/>
            </w:pPr>
            <w:r/>
            <w:r>
              <w:rPr>
                <w:b/>
                <w:sz w:val="15"/>
              </w:rPr>
              <w:t>Study ID; EU trial number</w:t>
            </w:r>
          </w:p>
        </w:tc>
        <w:tc>
          <w:tcPr>
            <w:tcW w:type="dxa" w:w="792"/>
            <w:shd w:val="clear" w:color="auto" w:fill="E8EDF4"/>
          </w:tcPr>
          <w:p>
            <w:pPr>
              <w:spacing w:after="0" w:line="240" w:lineRule="auto"/>
            </w:pPr>
            <w:r/>
            <w:r>
              <w:rPr>
                <w:b/>
                <w:sz w:val="15"/>
              </w:rPr>
              <w:t>Subject</w:t>
            </w:r>
          </w:p>
        </w:tc>
        <w:tc>
          <w:tcPr>
            <w:tcW w:type="dxa" w:w="1152"/>
            <w:shd w:val="clear" w:color="auto" w:fill="E8EDF4"/>
          </w:tcPr>
          <w:p>
            <w:pPr>
              <w:spacing w:after="0" w:line="240" w:lineRule="auto"/>
            </w:pPr>
            <w:r/>
            <w:r>
              <w:rPr>
                <w:b/>
                <w:sz w:val="15"/>
              </w:rPr>
              <w:t>Case reference</w:t>
            </w:r>
          </w:p>
        </w:tc>
        <w:tc>
          <w:tcPr>
            <w:tcW w:type="dxa" w:w="936"/>
            <w:shd w:val="clear" w:color="auto" w:fill="E8EDF4"/>
          </w:tcPr>
          <w:p>
            <w:pPr>
              <w:spacing w:after="0" w:line="240" w:lineRule="auto"/>
            </w:pPr>
            <w:r/>
            <w:r>
              <w:rPr>
                <w:b/>
                <w:sz w:val="15"/>
              </w:rPr>
              <w:t>Country</w:t>
            </w:r>
          </w:p>
        </w:tc>
        <w:tc>
          <w:tcPr>
            <w:tcW w:type="dxa" w:w="648"/>
            <w:shd w:val="clear" w:color="auto" w:fill="E8EDF4"/>
          </w:tcPr>
          <w:p>
            <w:pPr>
              <w:spacing w:after="0" w:line="240" w:lineRule="auto"/>
            </w:pPr>
            <w:r/>
            <w:r>
              <w:rPr>
                <w:b/>
                <w:sz w:val="15"/>
              </w:rPr>
              <w:t>Age, sex</w:t>
            </w:r>
          </w:p>
        </w:tc>
        <w:tc>
          <w:tcPr>
            <w:tcW w:type="dxa" w:w="1152"/>
            <w:shd w:val="clear" w:color="auto" w:fill="E8EDF4"/>
          </w:tcPr>
          <w:p>
            <w:pPr>
              <w:spacing w:after="0" w:line="240" w:lineRule="auto"/>
            </w:pPr>
            <w:r/>
            <w:r>
              <w:rPr>
                <w:b/>
                <w:sz w:val="15"/>
              </w:rPr>
              <w:t>Treatment</w:t>
            </w:r>
          </w:p>
        </w:tc>
        <w:tc>
          <w:tcPr>
            <w:tcW w:type="dxa" w:w="1152"/>
            <w:shd w:val="clear" w:color="auto" w:fill="E8EDF4"/>
          </w:tcPr>
          <w:p>
            <w:pPr>
              <w:spacing w:after="0" w:line="240" w:lineRule="auto"/>
            </w:pPr>
            <w:r/>
            <w:r>
              <w:rPr>
                <w:b/>
                <w:sz w:val="15"/>
              </w:rPr>
              <w:t>Dose and regimen</w:t>
            </w:r>
          </w:p>
        </w:tc>
        <w:tc>
          <w:tcPr>
            <w:tcW w:type="dxa" w:w="720"/>
            <w:shd w:val="clear" w:color="auto" w:fill="E8EDF4"/>
          </w:tcPr>
          <w:p>
            <w:pPr>
              <w:spacing w:after="0" w:line="240" w:lineRule="auto"/>
            </w:pPr>
            <w:r/>
            <w:r>
              <w:rPr>
                <w:b/>
                <w:sz w:val="15"/>
              </w:rPr>
              <w:t>Time to onset</w:t>
            </w:r>
          </w:p>
        </w:tc>
        <w:tc>
          <w:tcPr>
            <w:tcW w:type="dxa" w:w="1440"/>
            <w:shd w:val="clear" w:color="auto" w:fill="E8EDF4"/>
          </w:tcPr>
          <w:p>
            <w:pPr>
              <w:spacing w:after="0" w:line="240" w:lineRule="auto"/>
            </w:pPr>
            <w:r/>
            <w:r>
              <w:rPr>
                <w:b/>
                <w:sz w:val="15"/>
              </w:rPr>
              <w:t>Treatment dates</w:t>
            </w:r>
          </w:p>
        </w:tc>
        <w:tc>
          <w:tcPr>
            <w:tcW w:type="dxa" w:w="1080"/>
            <w:shd w:val="clear" w:color="auto" w:fill="E8EDF4"/>
          </w:tcPr>
          <w:p>
            <w:pPr>
              <w:spacing w:after="0" w:line="240" w:lineRule="auto"/>
            </w:pPr>
            <w:r/>
            <w:r>
              <w:rPr>
                <w:b/>
                <w:sz w:val="15"/>
              </w:rPr>
              <w:t>Serious adverse reaction (PT)</w:t>
            </w:r>
          </w:p>
        </w:tc>
        <w:tc>
          <w:tcPr>
            <w:tcW w:type="dxa" w:w="864"/>
            <w:shd w:val="clear" w:color="auto" w:fill="E8EDF4"/>
          </w:tcPr>
          <w:p>
            <w:pPr>
              <w:spacing w:after="0" w:line="240" w:lineRule="auto"/>
            </w:pPr>
            <w:r/>
            <w:r>
              <w:rPr>
                <w:b/>
                <w:sz w:val="15"/>
              </w:rPr>
              <w:t>Outcome</w:t>
            </w:r>
          </w:p>
        </w:tc>
        <w:tc>
          <w:tcPr>
            <w:tcW w:type="dxa" w:w="2088"/>
            <w:shd w:val="clear" w:color="auto" w:fill="E8EDF4"/>
          </w:tcPr>
          <w:p>
            <w:pPr>
              <w:spacing w:after="0" w:line="240" w:lineRule="auto"/>
            </w:pPr>
            <w:r/>
            <w:r>
              <w:rPr>
                <w:b/>
                <w:sz w:val="15"/>
              </w:rPr>
              <w:t>Comments</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301-0118</w:t>
            </w:r>
          </w:p>
        </w:tc>
        <w:tc>
          <w:tcPr>
            <w:tcW w:type="dxa" w:w="1152"/>
          </w:tcPr>
          <w:p>
            <w:pPr>
              <w:spacing w:after="0" w:line="240" w:lineRule="auto"/>
            </w:pPr>
            <w:r/>
            <w:r>
              <w:rPr>
                <w:sz w:val="15"/>
              </w:rPr>
              <w:t>XB-2025-00866</w:t>
            </w:r>
          </w:p>
        </w:tc>
        <w:tc>
          <w:tcPr>
            <w:tcW w:type="dxa" w:w="936"/>
          </w:tcPr>
          <w:p>
            <w:pPr>
              <w:spacing w:after="0" w:line="240" w:lineRule="auto"/>
            </w:pPr>
            <w:r/>
            <w:r>
              <w:rPr>
                <w:sz w:val="15"/>
              </w:rPr>
              <w:t>Spain</w:t>
            </w:r>
          </w:p>
        </w:tc>
        <w:tc>
          <w:tcPr>
            <w:tcW w:type="dxa" w:w="648"/>
          </w:tcPr>
          <w:p>
            <w:pPr>
              <w:spacing w:after="0" w:line="240" w:lineRule="auto"/>
            </w:pPr>
            <w:r/>
            <w:r>
              <w:rPr>
                <w:sz w:val="15"/>
              </w:rPr>
              <w:t>63, M</w:t>
            </w:r>
          </w:p>
        </w:tc>
        <w:tc>
          <w:tcPr>
            <w:tcW w:type="dxa" w:w="1152"/>
          </w:tcPr>
          <w:p>
            <w:pPr>
              <w:spacing w:after="0" w:line="240" w:lineRule="auto"/>
            </w:pPr>
            <w:r/>
            <w:r>
              <w:rPr>
                <w:sz w:val="15"/>
              </w:rPr>
              <w:t>Blinded</w:t>
            </w:r>
          </w:p>
        </w:tc>
        <w:tc>
          <w:tcPr>
            <w:tcW w:type="dxa" w:w="1152"/>
          </w:tcPr>
          <w:p>
            <w:pPr>
              <w:spacing w:after="0" w:line="240" w:lineRule="auto"/>
            </w:pPr>
            <w:r/>
            <w:r>
              <w:rPr>
                <w:sz w:val="15"/>
              </w:rPr>
              <w:t>150 mg SC every 4 weeks or placebo</w:t>
            </w:r>
          </w:p>
        </w:tc>
        <w:tc>
          <w:tcPr>
            <w:tcW w:type="dxa" w:w="720"/>
          </w:tcPr>
          <w:p>
            <w:pPr>
              <w:spacing w:after="0" w:line="240" w:lineRule="auto"/>
            </w:pPr>
            <w:r/>
            <w:r>
              <w:rPr>
                <w:sz w:val="15"/>
              </w:rPr>
              <w:t>Day 224</w:t>
            </w:r>
          </w:p>
        </w:tc>
        <w:tc>
          <w:tcPr>
            <w:tcW w:type="dxa" w:w="1440"/>
          </w:tcPr>
          <w:p>
            <w:pPr>
              <w:spacing w:after="0" w:line="240" w:lineRule="auto"/>
            </w:pPr>
            <w:r/>
            <w:r>
              <w:rPr>
                <w:sz w:val="15"/>
              </w:rPr>
              <w:t>12 March 2025 to 21 October 2025 (discontinued)</w:t>
            </w:r>
          </w:p>
        </w:tc>
        <w:tc>
          <w:tcPr>
            <w:tcW w:type="dxa" w:w="1080"/>
          </w:tcPr>
          <w:p>
            <w:pPr>
              <w:spacing w:after="0" w:line="240" w:lineRule="auto"/>
            </w:pPr>
            <w:r/>
            <w:r>
              <w:rPr>
                <w:sz w:val="15"/>
              </w:rPr>
              <w:t>Pneumonia</w:t>
            </w:r>
          </w:p>
        </w:tc>
        <w:tc>
          <w:tcPr>
            <w:tcW w:type="dxa" w:w="864"/>
          </w:tcPr>
          <w:p>
            <w:pPr>
              <w:spacing w:after="0" w:line="240" w:lineRule="auto"/>
            </w:pPr>
            <w:r/>
            <w:r>
              <w:rPr>
                <w:sz w:val="15"/>
              </w:rPr>
              <w:t>Recovered</w:t>
            </w:r>
          </w:p>
        </w:tc>
        <w:tc>
          <w:tcPr>
            <w:tcW w:type="dxa" w:w="2088"/>
          </w:tcPr>
          <w:p>
            <w:pPr>
              <w:spacing w:after="0" w:line="240" w:lineRule="auto"/>
            </w:pPr>
            <w:r/>
            <w:r>
              <w:rPr>
                <w:sz w:val="15"/>
              </w:rPr>
              <w:t>Treatment discontinued; sponsor agrees with investigator causality</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301-0214</w:t>
            </w:r>
          </w:p>
        </w:tc>
        <w:tc>
          <w:tcPr>
            <w:tcW w:type="dxa" w:w="1152"/>
          </w:tcPr>
          <w:p>
            <w:pPr>
              <w:spacing w:after="0" w:line="240" w:lineRule="auto"/>
            </w:pPr>
            <w:r/>
            <w:r>
              <w:rPr>
                <w:sz w:val="15"/>
              </w:rPr>
              <w:t>XB-2025-01022</w:t>
            </w:r>
          </w:p>
        </w:tc>
        <w:tc>
          <w:tcPr>
            <w:tcW w:type="dxa" w:w="936"/>
          </w:tcPr>
          <w:p>
            <w:pPr>
              <w:spacing w:after="0" w:line="240" w:lineRule="auto"/>
            </w:pPr>
            <w:r/>
            <w:r>
              <w:rPr>
                <w:sz w:val="15"/>
              </w:rPr>
              <w:t>United States</w:t>
            </w:r>
          </w:p>
        </w:tc>
        <w:tc>
          <w:tcPr>
            <w:tcW w:type="dxa" w:w="648"/>
          </w:tcPr>
          <w:p>
            <w:pPr>
              <w:spacing w:after="0" w:line="240" w:lineRule="auto"/>
            </w:pPr>
            <w:r/>
            <w:r>
              <w:rPr>
                <w:sz w:val="15"/>
              </w:rPr>
              <w:t>77, F</w:t>
            </w:r>
          </w:p>
        </w:tc>
        <w:tc>
          <w:tcPr>
            <w:tcW w:type="dxa" w:w="1152"/>
          </w:tcPr>
          <w:p>
            <w:pPr>
              <w:spacing w:after="0" w:line="240" w:lineRule="auto"/>
            </w:pPr>
            <w:r/>
            <w:r>
              <w:rPr>
                <w:sz w:val="15"/>
              </w:rPr>
              <w:t>XB-7 (unblinded for expedited reporting)</w:t>
            </w:r>
          </w:p>
        </w:tc>
        <w:tc>
          <w:tcPr>
            <w:tcW w:type="dxa" w:w="1152"/>
          </w:tcPr>
          <w:p>
            <w:pPr>
              <w:spacing w:after="0" w:line="240" w:lineRule="auto"/>
            </w:pPr>
            <w:r/>
            <w:r>
              <w:rPr>
                <w:sz w:val="15"/>
              </w:rPr>
              <w:t>150 mg SC every 4 weeks</w:t>
            </w:r>
          </w:p>
        </w:tc>
        <w:tc>
          <w:tcPr>
            <w:tcW w:type="dxa" w:w="720"/>
          </w:tcPr>
          <w:p>
            <w:pPr>
              <w:spacing w:after="0" w:line="240" w:lineRule="auto"/>
            </w:pPr>
            <w:r/>
            <w:r>
              <w:rPr>
                <w:sz w:val="15"/>
              </w:rPr>
              <w:t>Day 98</w:t>
            </w:r>
          </w:p>
        </w:tc>
        <w:tc>
          <w:tcPr>
            <w:tcW w:type="dxa" w:w="1440"/>
          </w:tcPr>
          <w:p>
            <w:pPr>
              <w:spacing w:after="0" w:line="240" w:lineRule="auto"/>
            </w:pPr>
            <w:r/>
            <w:r>
              <w:rPr>
                <w:sz w:val="15"/>
              </w:rPr>
              <w:t>28 July 2025 to 2 November 2025 (discontinued)</w:t>
            </w:r>
          </w:p>
        </w:tc>
        <w:tc>
          <w:tcPr>
            <w:tcW w:type="dxa" w:w="1080"/>
          </w:tcPr>
          <w:p>
            <w:pPr>
              <w:spacing w:after="0" w:line="240" w:lineRule="auto"/>
            </w:pPr>
            <w:r/>
            <w:r>
              <w:rPr>
                <w:sz w:val="15"/>
              </w:rPr>
              <w:t>Sepsis †</w:t>
            </w:r>
          </w:p>
        </w:tc>
        <w:tc>
          <w:tcPr>
            <w:tcW w:type="dxa" w:w="864"/>
          </w:tcPr>
          <w:p>
            <w:pPr>
              <w:spacing w:after="0" w:line="240" w:lineRule="auto"/>
            </w:pPr>
            <w:r/>
            <w:r>
              <w:rPr>
                <w:sz w:val="15"/>
              </w:rPr>
              <w:t>Recovered</w:t>
            </w:r>
          </w:p>
        </w:tc>
        <w:tc>
          <w:tcPr>
            <w:tcW w:type="dxa" w:w="2088"/>
          </w:tcPr>
          <w:p>
            <w:pPr>
              <w:spacing w:after="0" w:line="240" w:lineRule="auto"/>
            </w:pPr>
            <w:r/>
            <w:r>
              <w:rPr>
                <w:sz w:val="15"/>
              </w:rPr>
              <w:t>Urinary source; life-threatening. Prednisone 7.5 mg daily. Unexpected under IB Edition 5; expedited as a SUSAR on 11 November 2025</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301-0311</w:t>
            </w:r>
          </w:p>
        </w:tc>
        <w:tc>
          <w:tcPr>
            <w:tcW w:type="dxa" w:w="1152"/>
          </w:tcPr>
          <w:p>
            <w:pPr>
              <w:spacing w:after="0" w:line="240" w:lineRule="auto"/>
            </w:pPr>
            <w:r/>
            <w:r>
              <w:rPr>
                <w:sz w:val="15"/>
              </w:rPr>
              <w:t>XB-2025-01188</w:t>
            </w:r>
          </w:p>
        </w:tc>
        <w:tc>
          <w:tcPr>
            <w:tcW w:type="dxa" w:w="936"/>
          </w:tcPr>
          <w:p>
            <w:pPr>
              <w:spacing w:after="0" w:line="240" w:lineRule="auto"/>
            </w:pPr>
            <w:r/>
            <w:r>
              <w:rPr>
                <w:sz w:val="15"/>
              </w:rPr>
              <w:t>Canada</w:t>
            </w:r>
          </w:p>
        </w:tc>
        <w:tc>
          <w:tcPr>
            <w:tcW w:type="dxa" w:w="648"/>
          </w:tcPr>
          <w:p>
            <w:pPr>
              <w:spacing w:after="0" w:line="240" w:lineRule="auto"/>
            </w:pPr>
            <w:r/>
            <w:r>
              <w:rPr>
                <w:sz w:val="15"/>
              </w:rPr>
              <w:t>58, M</w:t>
            </w:r>
          </w:p>
        </w:tc>
        <w:tc>
          <w:tcPr>
            <w:tcW w:type="dxa" w:w="1152"/>
          </w:tcPr>
          <w:p>
            <w:pPr>
              <w:spacing w:after="0" w:line="240" w:lineRule="auto"/>
            </w:pPr>
            <w:r/>
            <w:r>
              <w:rPr>
                <w:sz w:val="15"/>
              </w:rPr>
              <w:t>Blinded</w:t>
            </w:r>
          </w:p>
        </w:tc>
        <w:tc>
          <w:tcPr>
            <w:tcW w:type="dxa" w:w="1152"/>
          </w:tcPr>
          <w:p>
            <w:pPr>
              <w:spacing w:after="0" w:line="240" w:lineRule="auto"/>
            </w:pPr>
            <w:r/>
            <w:r>
              <w:rPr>
                <w:sz w:val="15"/>
              </w:rPr>
              <w:t>150 mg SC every 4 weeks or placebo</w:t>
            </w:r>
          </w:p>
        </w:tc>
        <w:tc>
          <w:tcPr>
            <w:tcW w:type="dxa" w:w="720"/>
          </w:tcPr>
          <w:p>
            <w:pPr>
              <w:spacing w:after="0" w:line="240" w:lineRule="auto"/>
            </w:pPr>
            <w:r/>
            <w:r>
              <w:rPr>
                <w:sz w:val="15"/>
              </w:rPr>
              <w:t>Day 189</w:t>
            </w:r>
          </w:p>
        </w:tc>
        <w:tc>
          <w:tcPr>
            <w:tcW w:type="dxa" w:w="1440"/>
          </w:tcPr>
          <w:p>
            <w:pPr>
              <w:spacing w:after="0" w:line="240" w:lineRule="auto"/>
            </w:pPr>
            <w:r/>
            <w:r>
              <w:rPr>
                <w:sz w:val="15"/>
              </w:rPr>
              <w:t>4 June 2025 to ongoing</w:t>
            </w:r>
          </w:p>
        </w:tc>
        <w:tc>
          <w:tcPr>
            <w:tcW w:type="dxa" w:w="1080"/>
          </w:tcPr>
          <w:p>
            <w:pPr>
              <w:spacing w:after="0" w:line="240" w:lineRule="auto"/>
            </w:pPr>
            <w:r/>
            <w:r>
              <w:rPr>
                <w:sz w:val="15"/>
              </w:rPr>
              <w:t>Cellulitis</w:t>
            </w:r>
          </w:p>
        </w:tc>
        <w:tc>
          <w:tcPr>
            <w:tcW w:type="dxa" w:w="864"/>
          </w:tcPr>
          <w:p>
            <w:pPr>
              <w:spacing w:after="0" w:line="240" w:lineRule="auto"/>
            </w:pPr>
            <w:r/>
            <w:r>
              <w:rPr>
                <w:sz w:val="15"/>
              </w:rPr>
              <w:t>Recovered</w:t>
            </w:r>
          </w:p>
        </w:tc>
        <w:tc>
          <w:tcPr>
            <w:tcW w:type="dxa" w:w="2088"/>
          </w:tcPr>
          <w:p>
            <w:pPr>
              <w:spacing w:after="0" w:line="240" w:lineRule="auto"/>
            </w:pPr>
            <w:r/>
            <w:r>
              <w:rPr>
                <w:sz w:val="15"/>
              </w:rPr>
              <w:t>Lower leg; intravenous antibiotics; sponsor agrees with investigator causality</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301-0044</w:t>
            </w:r>
          </w:p>
        </w:tc>
        <w:tc>
          <w:tcPr>
            <w:tcW w:type="dxa" w:w="1152"/>
          </w:tcPr>
          <w:p>
            <w:pPr>
              <w:spacing w:after="0" w:line="240" w:lineRule="auto"/>
            </w:pPr>
            <w:r/>
            <w:r>
              <w:rPr>
                <w:sz w:val="15"/>
              </w:rPr>
              <w:t>XB-2026-00093</w:t>
            </w:r>
          </w:p>
        </w:tc>
        <w:tc>
          <w:tcPr>
            <w:tcW w:type="dxa" w:w="936"/>
          </w:tcPr>
          <w:p>
            <w:pPr>
              <w:spacing w:after="0" w:line="240" w:lineRule="auto"/>
            </w:pPr>
            <w:r/>
            <w:r>
              <w:rPr>
                <w:sz w:val="15"/>
              </w:rPr>
              <w:t>United Kingdom</w:t>
            </w:r>
          </w:p>
        </w:tc>
        <w:tc>
          <w:tcPr>
            <w:tcW w:type="dxa" w:w="648"/>
          </w:tcPr>
          <w:p>
            <w:pPr>
              <w:spacing w:after="0" w:line="240" w:lineRule="auto"/>
            </w:pPr>
            <w:r/>
            <w:r>
              <w:rPr>
                <w:sz w:val="15"/>
              </w:rPr>
              <w:t>64, M</w:t>
            </w:r>
          </w:p>
        </w:tc>
        <w:tc>
          <w:tcPr>
            <w:tcW w:type="dxa" w:w="1152"/>
          </w:tcPr>
          <w:p>
            <w:pPr>
              <w:spacing w:after="0" w:line="240" w:lineRule="auto"/>
            </w:pPr>
            <w:r/>
            <w:r>
              <w:rPr>
                <w:sz w:val="15"/>
              </w:rPr>
              <w:t>XB-7 (unblinded for expedited reporting)</w:t>
            </w:r>
          </w:p>
        </w:tc>
        <w:tc>
          <w:tcPr>
            <w:tcW w:type="dxa" w:w="1152"/>
          </w:tcPr>
          <w:p>
            <w:pPr>
              <w:spacing w:after="0" w:line="240" w:lineRule="auto"/>
            </w:pPr>
            <w:r/>
            <w:r>
              <w:rPr>
                <w:sz w:val="15"/>
              </w:rPr>
              <w:t>150 mg SC every 4 weeks</w:t>
            </w:r>
          </w:p>
        </w:tc>
        <w:tc>
          <w:tcPr>
            <w:tcW w:type="dxa" w:w="720"/>
          </w:tcPr>
          <w:p>
            <w:pPr>
              <w:spacing w:after="0" w:line="240" w:lineRule="auto"/>
            </w:pPr>
            <w:r/>
            <w:r>
              <w:rPr>
                <w:sz w:val="15"/>
              </w:rPr>
              <w:t>Day 670</w:t>
            </w:r>
          </w:p>
        </w:tc>
        <w:tc>
          <w:tcPr>
            <w:tcW w:type="dxa" w:w="1440"/>
          </w:tcPr>
          <w:p>
            <w:pPr>
              <w:spacing w:after="0" w:line="240" w:lineRule="auto"/>
            </w:pPr>
            <w:r/>
            <w:r>
              <w:rPr>
                <w:sz w:val="15"/>
              </w:rPr>
              <w:t>20 March 2024 to 18 January 2026 (discontinued)</w:t>
            </w:r>
          </w:p>
        </w:tc>
        <w:tc>
          <w:tcPr>
            <w:tcW w:type="dxa" w:w="1080"/>
          </w:tcPr>
          <w:p>
            <w:pPr>
              <w:spacing w:after="0" w:line="240" w:lineRule="auto"/>
            </w:pPr>
            <w:r/>
            <w:r>
              <w:rPr>
                <w:sz w:val="15"/>
              </w:rPr>
              <w:t>Sepsis †</w:t>
            </w:r>
          </w:p>
        </w:tc>
        <w:tc>
          <w:tcPr>
            <w:tcW w:type="dxa" w:w="864"/>
          </w:tcPr>
          <w:p>
            <w:pPr>
              <w:spacing w:after="0" w:line="240" w:lineRule="auto"/>
            </w:pPr>
            <w:r/>
            <w:r>
              <w:rPr>
                <w:sz w:val="15"/>
              </w:rPr>
              <w:t>Recovered</w:t>
            </w:r>
          </w:p>
        </w:tc>
        <w:tc>
          <w:tcPr>
            <w:tcW w:type="dxa" w:w="2088"/>
          </w:tcPr>
          <w:p>
            <w:pPr>
              <w:spacing w:after="0" w:line="240" w:lineRule="auto"/>
            </w:pPr>
            <w:r/>
            <w:r>
              <w:rPr>
                <w:sz w:val="15"/>
              </w:rPr>
              <w:t>Pneumonia in the same episode, listed once under sepsis. Unexpected under IB Edition 5; expedited as a SUSAR on 27 January 2026</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301-0457</w:t>
            </w:r>
          </w:p>
        </w:tc>
        <w:tc>
          <w:tcPr>
            <w:tcW w:type="dxa" w:w="1152"/>
          </w:tcPr>
          <w:p>
            <w:pPr>
              <w:spacing w:after="0" w:line="240" w:lineRule="auto"/>
            </w:pPr>
            <w:r/>
            <w:r>
              <w:rPr>
                <w:sz w:val="15"/>
              </w:rPr>
              <w:t>XB-2026-01234</w:t>
            </w:r>
          </w:p>
        </w:tc>
        <w:tc>
          <w:tcPr>
            <w:tcW w:type="dxa" w:w="936"/>
          </w:tcPr>
          <w:p>
            <w:pPr>
              <w:spacing w:after="0" w:line="240" w:lineRule="auto"/>
            </w:pPr>
            <w:r/>
            <w:r>
              <w:rPr>
                <w:sz w:val="15"/>
              </w:rPr>
              <w:t>Germany</w:t>
            </w:r>
          </w:p>
        </w:tc>
        <w:tc>
          <w:tcPr>
            <w:tcW w:type="dxa" w:w="648"/>
          </w:tcPr>
          <w:p>
            <w:pPr>
              <w:spacing w:after="0" w:line="240" w:lineRule="auto"/>
            </w:pPr>
            <w:r/>
            <w:r>
              <w:rPr>
                <w:sz w:val="15"/>
              </w:rPr>
              <w:t>67, F</w:t>
            </w:r>
          </w:p>
        </w:tc>
        <w:tc>
          <w:tcPr>
            <w:tcW w:type="dxa" w:w="1152"/>
          </w:tcPr>
          <w:p>
            <w:pPr>
              <w:spacing w:after="0" w:line="240" w:lineRule="auto"/>
            </w:pPr>
            <w:r/>
            <w:r>
              <w:rPr>
                <w:sz w:val="15"/>
              </w:rPr>
              <w:t>Blinded</w:t>
            </w:r>
          </w:p>
        </w:tc>
        <w:tc>
          <w:tcPr>
            <w:tcW w:type="dxa" w:w="1152"/>
          </w:tcPr>
          <w:p>
            <w:pPr>
              <w:spacing w:after="0" w:line="240" w:lineRule="auto"/>
            </w:pPr>
            <w:r/>
            <w:r>
              <w:rPr>
                <w:sz w:val="15"/>
              </w:rPr>
              <w:t>150 mg SC every 4 weeks or placebo</w:t>
            </w:r>
          </w:p>
        </w:tc>
        <w:tc>
          <w:tcPr>
            <w:tcW w:type="dxa" w:w="720"/>
          </w:tcPr>
          <w:p>
            <w:pPr>
              <w:spacing w:after="0" w:line="240" w:lineRule="auto"/>
            </w:pPr>
            <w:r/>
            <w:r>
              <w:rPr>
                <w:sz w:val="15"/>
              </w:rPr>
              <w:t>Day 142</w:t>
            </w:r>
          </w:p>
        </w:tc>
        <w:tc>
          <w:tcPr>
            <w:tcW w:type="dxa" w:w="1440"/>
          </w:tcPr>
          <w:p>
            <w:pPr>
              <w:spacing w:after="0" w:line="240" w:lineRule="auto"/>
            </w:pPr>
            <w:r/>
            <w:r>
              <w:rPr>
                <w:sz w:val="15"/>
              </w:rPr>
              <w:t>10 January 2026 to ongoing</w:t>
            </w:r>
          </w:p>
        </w:tc>
        <w:tc>
          <w:tcPr>
            <w:tcW w:type="dxa" w:w="1080"/>
          </w:tcPr>
          <w:p>
            <w:pPr>
              <w:spacing w:after="0" w:line="240" w:lineRule="auto"/>
            </w:pPr>
            <w:r/>
            <w:r>
              <w:rPr>
                <w:sz w:val="15"/>
              </w:rPr>
              <w:t>Pneumonia</w:t>
            </w:r>
          </w:p>
        </w:tc>
        <w:tc>
          <w:tcPr>
            <w:tcW w:type="dxa" w:w="864"/>
          </w:tcPr>
          <w:p>
            <w:pPr>
              <w:spacing w:after="0" w:line="240" w:lineRule="auto"/>
            </w:pPr>
            <w:r/>
            <w:r>
              <w:rPr>
                <w:sz w:val="15"/>
              </w:rPr>
              <w:t>Recovered</w:t>
            </w:r>
          </w:p>
        </w:tc>
        <w:tc>
          <w:tcPr>
            <w:tcW w:type="dxa" w:w="2088"/>
          </w:tcPr>
          <w:p>
            <w:pPr>
              <w:spacing w:after="0" w:line="240" w:lineRule="auto"/>
            </w:pPr>
            <w:r/>
            <w:r>
              <w:rPr>
                <w:sz w:val="15"/>
              </w:rPr>
              <w:t>Prednisone 10 mg daily; sponsor agrees with investigator causality</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301-0526</w:t>
            </w:r>
          </w:p>
        </w:tc>
        <w:tc>
          <w:tcPr>
            <w:tcW w:type="dxa" w:w="1152"/>
          </w:tcPr>
          <w:p>
            <w:pPr>
              <w:spacing w:after="0" w:line="240" w:lineRule="auto"/>
            </w:pPr>
            <w:r/>
            <w:r>
              <w:rPr>
                <w:sz w:val="15"/>
              </w:rPr>
              <w:t>XB-2026-01530</w:t>
            </w:r>
          </w:p>
        </w:tc>
        <w:tc>
          <w:tcPr>
            <w:tcW w:type="dxa" w:w="936"/>
          </w:tcPr>
          <w:p>
            <w:pPr>
              <w:spacing w:after="0" w:line="240" w:lineRule="auto"/>
            </w:pPr>
            <w:r/>
            <w:r>
              <w:rPr>
                <w:sz w:val="15"/>
              </w:rPr>
              <w:t>Poland</w:t>
            </w:r>
          </w:p>
        </w:tc>
        <w:tc>
          <w:tcPr>
            <w:tcW w:type="dxa" w:w="648"/>
          </w:tcPr>
          <w:p>
            <w:pPr>
              <w:spacing w:after="0" w:line="240" w:lineRule="auto"/>
            </w:pPr>
            <w:r/>
            <w:r>
              <w:rPr>
                <w:sz w:val="15"/>
              </w:rPr>
              <w:t>49, F</w:t>
            </w:r>
          </w:p>
        </w:tc>
        <w:tc>
          <w:tcPr>
            <w:tcW w:type="dxa" w:w="1152"/>
          </w:tcPr>
          <w:p>
            <w:pPr>
              <w:spacing w:after="0" w:line="240" w:lineRule="auto"/>
            </w:pPr>
            <w:r/>
            <w:r>
              <w:rPr>
                <w:sz w:val="15"/>
              </w:rPr>
              <w:t>Blinded</w:t>
            </w:r>
          </w:p>
        </w:tc>
        <w:tc>
          <w:tcPr>
            <w:tcW w:type="dxa" w:w="1152"/>
          </w:tcPr>
          <w:p>
            <w:pPr>
              <w:spacing w:after="0" w:line="240" w:lineRule="auto"/>
            </w:pPr>
            <w:r/>
            <w:r>
              <w:rPr>
                <w:sz w:val="15"/>
              </w:rPr>
              <w:t>150 mg SC every 4 weeks or placebo</w:t>
            </w:r>
          </w:p>
        </w:tc>
        <w:tc>
          <w:tcPr>
            <w:tcW w:type="dxa" w:w="720"/>
          </w:tcPr>
          <w:p>
            <w:pPr>
              <w:spacing w:after="0" w:line="240" w:lineRule="auto"/>
            </w:pPr>
            <w:r/>
            <w:r>
              <w:rPr>
                <w:sz w:val="15"/>
              </w:rPr>
              <w:t>Day 245</w:t>
            </w:r>
          </w:p>
        </w:tc>
        <w:tc>
          <w:tcPr>
            <w:tcW w:type="dxa" w:w="1440"/>
          </w:tcPr>
          <w:p>
            <w:pPr>
              <w:spacing w:after="0" w:line="240" w:lineRule="auto"/>
            </w:pPr>
            <w:r/>
            <w:r>
              <w:rPr>
                <w:sz w:val="15"/>
              </w:rPr>
              <w:t>5 November 2025 to ongoing</w:t>
            </w:r>
          </w:p>
        </w:tc>
        <w:tc>
          <w:tcPr>
            <w:tcW w:type="dxa" w:w="1080"/>
          </w:tcPr>
          <w:p>
            <w:pPr>
              <w:spacing w:after="0" w:line="240" w:lineRule="auto"/>
            </w:pPr>
            <w:r/>
            <w:r>
              <w:rPr>
                <w:sz w:val="15"/>
              </w:rPr>
              <w:t>Cellulitis</w:t>
            </w:r>
          </w:p>
        </w:tc>
        <w:tc>
          <w:tcPr>
            <w:tcW w:type="dxa" w:w="864"/>
          </w:tcPr>
          <w:p>
            <w:pPr>
              <w:spacing w:after="0" w:line="240" w:lineRule="auto"/>
            </w:pPr>
            <w:r/>
            <w:r>
              <w:rPr>
                <w:sz w:val="15"/>
              </w:rPr>
              <w:t>Recovered</w:t>
            </w:r>
          </w:p>
        </w:tc>
        <w:tc>
          <w:tcPr>
            <w:tcW w:type="dxa" w:w="2088"/>
          </w:tcPr>
          <w:p>
            <w:pPr>
              <w:spacing w:after="0" w:line="240" w:lineRule="auto"/>
            </w:pPr>
            <w:r/>
            <w:r>
              <w:rPr>
                <w:sz w:val="15"/>
              </w:rPr>
              <w:t>Sponsor agrees with investigator causality</w:t>
            </w:r>
          </w:p>
        </w:tc>
      </w:tr>
      <w:tr>
        <w:trPr>
          <w:cantSplit w:val="true"/>
        </w:trPr>
        <w:tc>
          <w:tcPr>
            <w:tcW w:type="dxa" w:w="1368"/>
          </w:tcPr>
          <w:p>
            <w:pPr>
              <w:spacing w:after="0" w:line="240" w:lineRule="auto"/>
            </w:pPr>
            <w:r/>
            <w:r>
              <w:rPr>
                <w:sz w:val="15"/>
              </w:rPr>
              <w:t>XB-301; EU CT 2024-511842-33-00</w:t>
            </w:r>
          </w:p>
        </w:tc>
        <w:tc>
          <w:tcPr>
            <w:tcW w:type="dxa" w:w="792"/>
          </w:tcPr>
          <w:p>
            <w:pPr>
              <w:spacing w:after="0" w:line="240" w:lineRule="auto"/>
            </w:pPr>
            <w:r/>
            <w:r>
              <w:rPr>
                <w:sz w:val="15"/>
              </w:rPr>
              <w:t>301-0389</w:t>
            </w:r>
          </w:p>
        </w:tc>
        <w:tc>
          <w:tcPr>
            <w:tcW w:type="dxa" w:w="1152"/>
          </w:tcPr>
          <w:p>
            <w:pPr>
              <w:spacing w:after="0" w:line="240" w:lineRule="auto"/>
            </w:pPr>
            <w:r/>
            <w:r>
              <w:rPr>
                <w:sz w:val="15"/>
              </w:rPr>
              <w:t>XB-2026-01702</w:t>
            </w:r>
          </w:p>
        </w:tc>
        <w:tc>
          <w:tcPr>
            <w:tcW w:type="dxa" w:w="936"/>
          </w:tcPr>
          <w:p>
            <w:pPr>
              <w:spacing w:after="0" w:line="240" w:lineRule="auto"/>
            </w:pPr>
            <w:r/>
            <w:r>
              <w:rPr>
                <w:sz w:val="15"/>
              </w:rPr>
              <w:t>Italy</w:t>
            </w:r>
          </w:p>
        </w:tc>
        <w:tc>
          <w:tcPr>
            <w:tcW w:type="dxa" w:w="648"/>
          </w:tcPr>
          <w:p>
            <w:pPr>
              <w:spacing w:after="0" w:line="240" w:lineRule="auto"/>
            </w:pPr>
            <w:r/>
            <w:r>
              <w:rPr>
                <w:sz w:val="15"/>
              </w:rPr>
              <w:t>71, M</w:t>
            </w:r>
          </w:p>
        </w:tc>
        <w:tc>
          <w:tcPr>
            <w:tcW w:type="dxa" w:w="1152"/>
          </w:tcPr>
          <w:p>
            <w:pPr>
              <w:spacing w:after="0" w:line="240" w:lineRule="auto"/>
            </w:pPr>
            <w:r/>
            <w:r>
              <w:rPr>
                <w:sz w:val="15"/>
              </w:rPr>
              <w:t>Blinded</w:t>
            </w:r>
          </w:p>
        </w:tc>
        <w:tc>
          <w:tcPr>
            <w:tcW w:type="dxa" w:w="1152"/>
          </w:tcPr>
          <w:p>
            <w:pPr>
              <w:spacing w:after="0" w:line="240" w:lineRule="auto"/>
            </w:pPr>
            <w:r/>
            <w:r>
              <w:rPr>
                <w:sz w:val="15"/>
              </w:rPr>
              <w:t>150 mg SC every 4 weeks or placebo</w:t>
            </w:r>
          </w:p>
        </w:tc>
        <w:tc>
          <w:tcPr>
            <w:tcW w:type="dxa" w:w="720"/>
          </w:tcPr>
          <w:p>
            <w:pPr>
              <w:spacing w:after="0" w:line="240" w:lineRule="auto"/>
            </w:pPr>
            <w:r/>
            <w:r>
              <w:rPr>
                <w:sz w:val="15"/>
              </w:rPr>
              <w:t>Day 324</w:t>
            </w:r>
          </w:p>
        </w:tc>
        <w:tc>
          <w:tcPr>
            <w:tcW w:type="dxa" w:w="1440"/>
          </w:tcPr>
          <w:p>
            <w:pPr>
              <w:spacing w:after="0" w:line="240" w:lineRule="auto"/>
            </w:pPr>
            <w:r/>
            <w:r>
              <w:rPr>
                <w:sz w:val="15"/>
              </w:rPr>
              <w:t>15 September 2025 to ongoing</w:t>
            </w:r>
          </w:p>
        </w:tc>
        <w:tc>
          <w:tcPr>
            <w:tcW w:type="dxa" w:w="1080"/>
          </w:tcPr>
          <w:p>
            <w:pPr>
              <w:spacing w:after="0" w:line="240" w:lineRule="auto"/>
            </w:pPr>
            <w:r/>
            <w:r>
              <w:rPr>
                <w:sz w:val="15"/>
              </w:rPr>
              <w:t>Pneumonia</w:t>
            </w:r>
          </w:p>
        </w:tc>
        <w:tc>
          <w:tcPr>
            <w:tcW w:type="dxa" w:w="864"/>
          </w:tcPr>
          <w:p>
            <w:pPr>
              <w:spacing w:after="0" w:line="240" w:lineRule="auto"/>
            </w:pPr>
            <w:r/>
            <w:r>
              <w:rPr>
                <w:sz w:val="15"/>
              </w:rPr>
              <w:t>Recovering</w:t>
            </w:r>
          </w:p>
        </w:tc>
        <w:tc>
          <w:tcPr>
            <w:tcW w:type="dxa" w:w="2088"/>
          </w:tcPr>
          <w:p>
            <w:pPr>
              <w:spacing w:after="0" w:line="240" w:lineRule="auto"/>
            </w:pPr>
            <w:r/>
            <w:r>
              <w:rPr>
                <w:sz w:val="15"/>
              </w:rPr>
              <w:t>Investigator: not related; sponsor: related (no alternative cause identified)</w:t>
            </w:r>
          </w:p>
        </w:tc>
      </w:tr>
      <w:tr>
        <w:trPr>
          <w:cantSplit w:val="true"/>
        </w:trPr>
        <w:tc>
          <w:tcPr>
            <w:tcW w:type="dxa" w:w="1368"/>
          </w:tcPr>
          <w:p>
            <w:pPr>
              <w:spacing w:after="0" w:line="240" w:lineRule="auto"/>
            </w:pPr>
            <w:r/>
            <w:r>
              <w:rPr>
                <w:sz w:val="15"/>
              </w:rPr>
              <w:t>XB-302; EU CT 2023-504519-16-00</w:t>
            </w:r>
          </w:p>
        </w:tc>
        <w:tc>
          <w:tcPr>
            <w:tcW w:type="dxa" w:w="792"/>
          </w:tcPr>
          <w:p>
            <w:pPr>
              <w:spacing w:after="0" w:line="240" w:lineRule="auto"/>
            </w:pPr>
            <w:r/>
            <w:r>
              <w:rPr>
                <w:sz w:val="15"/>
              </w:rPr>
              <w:t>302-0012</w:t>
            </w:r>
          </w:p>
        </w:tc>
        <w:tc>
          <w:tcPr>
            <w:tcW w:type="dxa" w:w="1152"/>
          </w:tcPr>
          <w:p>
            <w:pPr>
              <w:spacing w:after="0" w:line="240" w:lineRule="auto"/>
            </w:pPr>
            <w:r/>
            <w:r>
              <w:rPr>
                <w:sz w:val="15"/>
              </w:rPr>
              <w:t>XB-2025-00799</w:t>
            </w:r>
          </w:p>
        </w:tc>
        <w:tc>
          <w:tcPr>
            <w:tcW w:type="dxa" w:w="936"/>
          </w:tcPr>
          <w:p>
            <w:pPr>
              <w:spacing w:after="0" w:line="240" w:lineRule="auto"/>
            </w:pPr>
            <w:r/>
            <w:r>
              <w:rPr>
                <w:sz w:val="15"/>
              </w:rPr>
              <w:t>Poland</w:t>
            </w:r>
          </w:p>
        </w:tc>
        <w:tc>
          <w:tcPr>
            <w:tcW w:type="dxa" w:w="648"/>
          </w:tcPr>
          <w:p>
            <w:pPr>
              <w:spacing w:after="0" w:line="240" w:lineRule="auto"/>
            </w:pPr>
            <w:r/>
            <w:r>
              <w:rPr>
                <w:sz w:val="15"/>
              </w:rPr>
              <w:t>69, F</w:t>
            </w:r>
          </w:p>
        </w:tc>
        <w:tc>
          <w:tcPr>
            <w:tcW w:type="dxa" w:w="1152"/>
          </w:tcPr>
          <w:p>
            <w:pPr>
              <w:spacing w:after="0" w:line="240" w:lineRule="auto"/>
            </w:pPr>
            <w:r/>
            <w:r>
              <w:rPr>
                <w:sz w:val="15"/>
              </w:rPr>
              <w:t>XB-7</w:t>
            </w:r>
          </w:p>
        </w:tc>
        <w:tc>
          <w:tcPr>
            <w:tcW w:type="dxa" w:w="1152"/>
          </w:tcPr>
          <w:p>
            <w:pPr>
              <w:spacing w:after="0" w:line="240" w:lineRule="auto"/>
            </w:pPr>
            <w:r/>
            <w:r>
              <w:rPr>
                <w:sz w:val="15"/>
              </w:rPr>
              <w:t>150 mg SC every 4 weeks</w:t>
            </w:r>
          </w:p>
        </w:tc>
        <w:tc>
          <w:tcPr>
            <w:tcW w:type="dxa" w:w="720"/>
          </w:tcPr>
          <w:p>
            <w:pPr>
              <w:spacing w:after="0" w:line="240" w:lineRule="auto"/>
            </w:pPr>
            <w:r/>
            <w:r>
              <w:rPr>
                <w:sz w:val="15"/>
              </w:rPr>
              <w:t>Day 811</w:t>
            </w:r>
          </w:p>
        </w:tc>
        <w:tc>
          <w:tcPr>
            <w:tcW w:type="dxa" w:w="1440"/>
          </w:tcPr>
          <w:p>
            <w:pPr>
              <w:spacing w:after="0" w:line="240" w:lineRule="auto"/>
            </w:pPr>
            <w:r/>
            <w:r>
              <w:rPr>
                <w:sz w:val="15"/>
              </w:rPr>
              <w:t>11 July 2023 to ongoing</w:t>
            </w:r>
          </w:p>
        </w:tc>
        <w:tc>
          <w:tcPr>
            <w:tcW w:type="dxa" w:w="1080"/>
          </w:tcPr>
          <w:p>
            <w:pPr>
              <w:spacing w:after="0" w:line="240" w:lineRule="auto"/>
            </w:pPr>
            <w:r/>
            <w:r>
              <w:rPr>
                <w:sz w:val="15"/>
              </w:rPr>
              <w:t>Pneumonia</w:t>
            </w:r>
          </w:p>
        </w:tc>
        <w:tc>
          <w:tcPr>
            <w:tcW w:type="dxa" w:w="864"/>
          </w:tcPr>
          <w:p>
            <w:pPr>
              <w:spacing w:after="0" w:line="240" w:lineRule="auto"/>
            </w:pPr>
            <w:r/>
            <w:r>
              <w:rPr>
                <w:sz w:val="15"/>
              </w:rPr>
              <w:t>Recovered</w:t>
            </w:r>
          </w:p>
        </w:tc>
        <w:tc>
          <w:tcPr>
            <w:tcW w:type="dxa" w:w="2088"/>
          </w:tcPr>
          <w:p>
            <w:pPr>
              <w:spacing w:after="0" w:line="240" w:lineRule="auto"/>
            </w:pPr>
            <w:r/>
            <w:r>
              <w:rPr>
                <w:sz w:val="15"/>
              </w:rPr>
              <w:t>Treatment interrupted and resumed after recovery</w:t>
            </w:r>
          </w:p>
        </w:tc>
      </w:tr>
      <w:tr>
        <w:trPr>
          <w:cantSplit w:val="true"/>
        </w:trPr>
        <w:tc>
          <w:tcPr>
            <w:tcW w:type="dxa" w:w="1368"/>
          </w:tcPr>
          <w:p>
            <w:pPr>
              <w:spacing w:after="0" w:line="240" w:lineRule="auto"/>
            </w:pPr>
            <w:r/>
            <w:r>
              <w:rPr>
                <w:sz w:val="15"/>
              </w:rPr>
              <w:t>XB-302; EU CT 2023-504519-16-00</w:t>
            </w:r>
          </w:p>
        </w:tc>
        <w:tc>
          <w:tcPr>
            <w:tcW w:type="dxa" w:w="792"/>
          </w:tcPr>
          <w:p>
            <w:pPr>
              <w:spacing w:after="0" w:line="240" w:lineRule="auto"/>
            </w:pPr>
            <w:r/>
            <w:r>
              <w:rPr>
                <w:sz w:val="15"/>
              </w:rPr>
              <w:t>302-0051</w:t>
            </w:r>
          </w:p>
        </w:tc>
        <w:tc>
          <w:tcPr>
            <w:tcW w:type="dxa" w:w="1152"/>
          </w:tcPr>
          <w:p>
            <w:pPr>
              <w:spacing w:after="0" w:line="240" w:lineRule="auto"/>
            </w:pPr>
            <w:r/>
            <w:r>
              <w:rPr>
                <w:sz w:val="15"/>
              </w:rPr>
              <w:t>XB-2025-01310</w:t>
            </w:r>
          </w:p>
        </w:tc>
        <w:tc>
          <w:tcPr>
            <w:tcW w:type="dxa" w:w="936"/>
          </w:tcPr>
          <w:p>
            <w:pPr>
              <w:spacing w:after="0" w:line="240" w:lineRule="auto"/>
            </w:pPr>
            <w:r/>
            <w:r>
              <w:rPr>
                <w:sz w:val="15"/>
              </w:rPr>
              <w:t>Germany</w:t>
            </w:r>
          </w:p>
        </w:tc>
        <w:tc>
          <w:tcPr>
            <w:tcW w:type="dxa" w:w="648"/>
          </w:tcPr>
          <w:p>
            <w:pPr>
              <w:spacing w:after="0" w:line="240" w:lineRule="auto"/>
            </w:pPr>
            <w:r/>
            <w:r>
              <w:rPr>
                <w:sz w:val="15"/>
              </w:rPr>
              <w:t>72, M</w:t>
            </w:r>
          </w:p>
        </w:tc>
        <w:tc>
          <w:tcPr>
            <w:tcW w:type="dxa" w:w="1152"/>
          </w:tcPr>
          <w:p>
            <w:pPr>
              <w:spacing w:after="0" w:line="240" w:lineRule="auto"/>
            </w:pPr>
            <w:r/>
            <w:r>
              <w:rPr>
                <w:sz w:val="15"/>
              </w:rPr>
              <w:t>XB-7</w:t>
            </w:r>
          </w:p>
        </w:tc>
        <w:tc>
          <w:tcPr>
            <w:tcW w:type="dxa" w:w="1152"/>
          </w:tcPr>
          <w:p>
            <w:pPr>
              <w:spacing w:after="0" w:line="240" w:lineRule="auto"/>
            </w:pPr>
            <w:r/>
            <w:r>
              <w:rPr>
                <w:sz w:val="15"/>
              </w:rPr>
              <w:t>150 mg SC every 4 weeks</w:t>
            </w:r>
          </w:p>
        </w:tc>
        <w:tc>
          <w:tcPr>
            <w:tcW w:type="dxa" w:w="720"/>
          </w:tcPr>
          <w:p>
            <w:pPr>
              <w:spacing w:after="0" w:line="240" w:lineRule="auto"/>
            </w:pPr>
            <w:r/>
            <w:r>
              <w:rPr>
                <w:sz w:val="15"/>
              </w:rPr>
              <w:t>Day 806</w:t>
            </w:r>
          </w:p>
        </w:tc>
        <w:tc>
          <w:tcPr>
            <w:tcW w:type="dxa" w:w="1440"/>
          </w:tcPr>
          <w:p>
            <w:pPr>
              <w:spacing w:after="0" w:line="240" w:lineRule="auto"/>
            </w:pPr>
            <w:r/>
            <w:r>
              <w:rPr>
                <w:sz w:val="15"/>
              </w:rPr>
              <w:t>2 October 2023 to 15 December 2025 (discontinued)</w:t>
            </w:r>
          </w:p>
        </w:tc>
        <w:tc>
          <w:tcPr>
            <w:tcW w:type="dxa" w:w="1080"/>
          </w:tcPr>
          <w:p>
            <w:pPr>
              <w:spacing w:after="0" w:line="240" w:lineRule="auto"/>
            </w:pPr>
            <w:r/>
            <w:r>
              <w:rPr>
                <w:sz w:val="15"/>
              </w:rPr>
              <w:t>Cellulitis</w:t>
            </w:r>
          </w:p>
        </w:tc>
        <w:tc>
          <w:tcPr>
            <w:tcW w:type="dxa" w:w="864"/>
          </w:tcPr>
          <w:p>
            <w:pPr>
              <w:spacing w:after="0" w:line="240" w:lineRule="auto"/>
            </w:pPr>
            <w:r/>
            <w:r>
              <w:rPr>
                <w:sz w:val="15"/>
              </w:rPr>
              <w:t>Recovered</w:t>
            </w:r>
          </w:p>
        </w:tc>
        <w:tc>
          <w:tcPr>
            <w:tcW w:type="dxa" w:w="2088"/>
          </w:tcPr>
          <w:p>
            <w:pPr>
              <w:spacing w:after="0" w:line="240" w:lineRule="auto"/>
            </w:pPr>
            <w:r/>
            <w:r>
              <w:rPr>
                <w:sz w:val="15"/>
              </w:rPr>
              <w:t>Treatment discontinued; sponsor agrees with investigator causality</w:t>
            </w:r>
          </w:p>
        </w:tc>
      </w:tr>
      <w:tr>
        <w:trPr>
          <w:cantSplit w:val="true"/>
        </w:trPr>
        <w:tc>
          <w:tcPr>
            <w:tcW w:type="dxa" w:w="1368"/>
          </w:tcPr>
          <w:p>
            <w:pPr>
              <w:spacing w:after="0" w:line="240" w:lineRule="auto"/>
            </w:pPr>
            <w:r/>
            <w:r>
              <w:rPr>
                <w:sz w:val="15"/>
              </w:rPr>
              <w:t>XB-302; EU CT 2023-504519-16-00</w:t>
            </w:r>
          </w:p>
        </w:tc>
        <w:tc>
          <w:tcPr>
            <w:tcW w:type="dxa" w:w="792"/>
          </w:tcPr>
          <w:p>
            <w:pPr>
              <w:spacing w:after="0" w:line="240" w:lineRule="auto"/>
            </w:pPr>
            <w:r/>
            <w:r>
              <w:rPr>
                <w:sz w:val="15"/>
              </w:rPr>
              <w:t>302-0067</w:t>
            </w:r>
          </w:p>
        </w:tc>
        <w:tc>
          <w:tcPr>
            <w:tcW w:type="dxa" w:w="1152"/>
          </w:tcPr>
          <w:p>
            <w:pPr>
              <w:spacing w:after="0" w:line="240" w:lineRule="auto"/>
            </w:pPr>
            <w:r/>
            <w:r>
              <w:rPr>
                <w:sz w:val="15"/>
              </w:rPr>
              <w:t>XB-2026-00041</w:t>
            </w:r>
          </w:p>
        </w:tc>
        <w:tc>
          <w:tcPr>
            <w:tcW w:type="dxa" w:w="936"/>
          </w:tcPr>
          <w:p>
            <w:pPr>
              <w:spacing w:after="0" w:line="240" w:lineRule="auto"/>
            </w:pPr>
            <w:r/>
            <w:r>
              <w:rPr>
                <w:sz w:val="15"/>
              </w:rPr>
              <w:t>Italy</w:t>
            </w:r>
          </w:p>
        </w:tc>
        <w:tc>
          <w:tcPr>
            <w:tcW w:type="dxa" w:w="648"/>
          </w:tcPr>
          <w:p>
            <w:pPr>
              <w:spacing w:after="0" w:line="240" w:lineRule="auto"/>
            </w:pPr>
            <w:r/>
            <w:r>
              <w:rPr>
                <w:sz w:val="15"/>
              </w:rPr>
              <w:t>66, F</w:t>
            </w:r>
          </w:p>
        </w:tc>
        <w:tc>
          <w:tcPr>
            <w:tcW w:type="dxa" w:w="1152"/>
          </w:tcPr>
          <w:p>
            <w:pPr>
              <w:spacing w:after="0" w:line="240" w:lineRule="auto"/>
            </w:pPr>
            <w:r/>
            <w:r>
              <w:rPr>
                <w:sz w:val="15"/>
              </w:rPr>
              <w:t>XB-7</w:t>
            </w:r>
          </w:p>
        </w:tc>
        <w:tc>
          <w:tcPr>
            <w:tcW w:type="dxa" w:w="1152"/>
          </w:tcPr>
          <w:p>
            <w:pPr>
              <w:spacing w:after="0" w:line="240" w:lineRule="auto"/>
            </w:pPr>
            <w:r/>
            <w:r>
              <w:rPr>
                <w:sz w:val="15"/>
              </w:rPr>
              <w:t>150 mg SC every 4 weeks</w:t>
            </w:r>
          </w:p>
        </w:tc>
        <w:tc>
          <w:tcPr>
            <w:tcW w:type="dxa" w:w="720"/>
          </w:tcPr>
          <w:p>
            <w:pPr>
              <w:spacing w:after="0" w:line="240" w:lineRule="auto"/>
            </w:pPr>
            <w:r/>
            <w:r>
              <w:rPr>
                <w:sz w:val="15"/>
              </w:rPr>
              <w:t>Day 796</w:t>
            </w:r>
          </w:p>
        </w:tc>
        <w:tc>
          <w:tcPr>
            <w:tcW w:type="dxa" w:w="1440"/>
          </w:tcPr>
          <w:p>
            <w:pPr>
              <w:spacing w:after="0" w:line="240" w:lineRule="auto"/>
            </w:pPr>
            <w:r/>
            <w:r>
              <w:rPr>
                <w:sz w:val="15"/>
              </w:rPr>
              <w:t>6 November 2023 to ongoing</w:t>
            </w:r>
          </w:p>
        </w:tc>
        <w:tc>
          <w:tcPr>
            <w:tcW w:type="dxa" w:w="1080"/>
          </w:tcPr>
          <w:p>
            <w:pPr>
              <w:spacing w:after="0" w:line="240" w:lineRule="auto"/>
            </w:pPr>
            <w:r/>
            <w:r>
              <w:rPr>
                <w:sz w:val="15"/>
              </w:rPr>
              <w:t>Cellulitis</w:t>
            </w:r>
          </w:p>
        </w:tc>
        <w:tc>
          <w:tcPr>
            <w:tcW w:type="dxa" w:w="864"/>
          </w:tcPr>
          <w:p>
            <w:pPr>
              <w:spacing w:after="0" w:line="240" w:lineRule="auto"/>
            </w:pPr>
            <w:r/>
            <w:r>
              <w:rPr>
                <w:sz w:val="15"/>
              </w:rPr>
              <w:t>Recovered</w:t>
            </w:r>
          </w:p>
        </w:tc>
        <w:tc>
          <w:tcPr>
            <w:tcW w:type="dxa" w:w="2088"/>
          </w:tcPr>
          <w:p>
            <w:pPr>
              <w:spacing w:after="0" w:line="240" w:lineRule="auto"/>
            </w:pPr>
            <w:r/>
            <w:r>
              <w:rPr>
                <w:sz w:val="15"/>
              </w:rPr>
              <w:t>Sponsor agrees with investigator causality</w:t>
            </w:r>
          </w:p>
        </w:tc>
      </w:tr>
      <w:tr>
        <w:trPr>
          <w:cantSplit w:val="true"/>
        </w:trPr>
        <w:tc>
          <w:tcPr>
            <w:tcW w:type="dxa" w:w="1368"/>
          </w:tcPr>
          <w:p>
            <w:pPr>
              <w:spacing w:after="0" w:line="240" w:lineRule="auto"/>
            </w:pPr>
            <w:r/>
            <w:r>
              <w:rPr>
                <w:sz w:val="15"/>
              </w:rPr>
              <w:t>XB-302; EU CT 2023-504519-16-00</w:t>
            </w:r>
          </w:p>
        </w:tc>
        <w:tc>
          <w:tcPr>
            <w:tcW w:type="dxa" w:w="792"/>
          </w:tcPr>
          <w:p>
            <w:pPr>
              <w:spacing w:after="0" w:line="240" w:lineRule="auto"/>
            </w:pPr>
            <w:r/>
            <w:r>
              <w:rPr>
                <w:sz w:val="15"/>
              </w:rPr>
              <w:t>302-0088</w:t>
            </w:r>
          </w:p>
        </w:tc>
        <w:tc>
          <w:tcPr>
            <w:tcW w:type="dxa" w:w="1152"/>
          </w:tcPr>
          <w:p>
            <w:pPr>
              <w:spacing w:after="0" w:line="240" w:lineRule="auto"/>
            </w:pPr>
            <w:r/>
            <w:r>
              <w:rPr>
                <w:sz w:val="15"/>
              </w:rPr>
              <w:t>XB-2026-01407</w:t>
            </w:r>
          </w:p>
        </w:tc>
        <w:tc>
          <w:tcPr>
            <w:tcW w:type="dxa" w:w="936"/>
          </w:tcPr>
          <w:p>
            <w:pPr>
              <w:spacing w:after="0" w:line="240" w:lineRule="auto"/>
            </w:pPr>
            <w:r/>
            <w:r>
              <w:rPr>
                <w:sz w:val="15"/>
              </w:rPr>
              <w:t>United States</w:t>
            </w:r>
          </w:p>
        </w:tc>
        <w:tc>
          <w:tcPr>
            <w:tcW w:type="dxa" w:w="648"/>
          </w:tcPr>
          <w:p>
            <w:pPr>
              <w:spacing w:after="0" w:line="240" w:lineRule="auto"/>
            </w:pPr>
            <w:r/>
            <w:r>
              <w:rPr>
                <w:sz w:val="15"/>
              </w:rPr>
              <w:t>78, M</w:t>
            </w:r>
          </w:p>
        </w:tc>
        <w:tc>
          <w:tcPr>
            <w:tcW w:type="dxa" w:w="1152"/>
          </w:tcPr>
          <w:p>
            <w:pPr>
              <w:spacing w:after="0" w:line="240" w:lineRule="auto"/>
            </w:pPr>
            <w:r/>
            <w:r>
              <w:rPr>
                <w:sz w:val="15"/>
              </w:rPr>
              <w:t>XB-7</w:t>
            </w:r>
          </w:p>
        </w:tc>
        <w:tc>
          <w:tcPr>
            <w:tcW w:type="dxa" w:w="1152"/>
          </w:tcPr>
          <w:p>
            <w:pPr>
              <w:spacing w:after="0" w:line="240" w:lineRule="auto"/>
            </w:pPr>
            <w:r/>
            <w:r>
              <w:rPr>
                <w:sz w:val="15"/>
              </w:rPr>
              <w:t>150 mg SC every 4 weeks</w:t>
            </w:r>
          </w:p>
        </w:tc>
        <w:tc>
          <w:tcPr>
            <w:tcW w:type="dxa" w:w="720"/>
          </w:tcPr>
          <w:p>
            <w:pPr>
              <w:spacing w:after="0" w:line="240" w:lineRule="auto"/>
            </w:pPr>
            <w:r/>
            <w:r>
              <w:rPr>
                <w:sz w:val="15"/>
              </w:rPr>
              <w:t>Day 892</w:t>
            </w:r>
          </w:p>
        </w:tc>
        <w:tc>
          <w:tcPr>
            <w:tcW w:type="dxa" w:w="1440"/>
          </w:tcPr>
          <w:p>
            <w:pPr>
              <w:spacing w:after="0" w:line="240" w:lineRule="auto"/>
            </w:pPr>
            <w:r/>
            <w:r>
              <w:rPr>
                <w:sz w:val="15"/>
              </w:rPr>
              <w:t>18 January 2024 to 27 June 2026 (discontinued)</w:t>
            </w:r>
          </w:p>
        </w:tc>
        <w:tc>
          <w:tcPr>
            <w:tcW w:type="dxa" w:w="1080"/>
          </w:tcPr>
          <w:p>
            <w:pPr>
              <w:spacing w:after="0" w:line="240" w:lineRule="auto"/>
            </w:pPr>
            <w:r/>
            <w:r>
              <w:rPr>
                <w:sz w:val="15"/>
              </w:rPr>
              <w:t>Pneumonia</w:t>
            </w:r>
          </w:p>
        </w:tc>
        <w:tc>
          <w:tcPr>
            <w:tcW w:type="dxa" w:w="864"/>
          </w:tcPr>
          <w:p>
            <w:pPr>
              <w:spacing w:after="0" w:line="240" w:lineRule="auto"/>
            </w:pPr>
            <w:r/>
            <w:r>
              <w:rPr>
                <w:sz w:val="15"/>
              </w:rPr>
              <w:t>Recovered</w:t>
            </w:r>
          </w:p>
        </w:tc>
        <w:tc>
          <w:tcPr>
            <w:tcW w:type="dxa" w:w="2088"/>
          </w:tcPr>
          <w:p>
            <w:pPr>
              <w:spacing w:after="0" w:line="240" w:lineRule="auto"/>
            </w:pPr>
            <w:r/>
            <w:r>
              <w:rPr>
                <w:sz w:val="15"/>
              </w:rPr>
              <w:t>Prednisolone 7.5 mg daily; aged over 75. Treatment discontinued</w:t>
            </w:r>
          </w:p>
        </w:tc>
      </w:tr>
    </w:tbl>
    <w:p>
      <w:pPr>
        <w:spacing w:after="40"/>
      </w:pPr>
    </w:p>
    <w:p>
      <w:pPr>
        <w:pStyle w:val="Heading2"/>
        <w:pageBreakBefore/>
      </w:pPr>
      <w:bookmarkStart w:id="1043" w:name="_Toc0044"/>
      <w:r>
        <w:t>Appendix 6. Cumulative Summary Tabulation of Serious Adverse Events</w:t>
      </w:r>
      <w:bookmarkEnd w:id="1043"/>
    </w:p>
    <w:p>
      <w:pPr>
        <w:keepNext/>
        <w:spacing w:before="120" w:after="60"/>
      </w:pPr>
      <w:commentRangeStart w:id="74"/>
      <w:r>
        <w:rPr>
          <w:b/>
          <w:color w:val="1F3864"/>
          <w:sz w:val="19"/>
        </w:rPr>
        <w:t>Table A6-1. Serious adverse events since the DIBD (2 September 2021 to 1 September 2026), by trial and arm, System Organ Class and Preferred Term</w:t>
      </w:r>
      <w:commentRangeEnd w:id="74"/>
      <w:r>
        <w:rPr>
          <w:rStyle w:val="CommentReference"/>
        </w:rPr>
        <w:commentReference w:id="74"/>
      </w:r>
    </w:p>
    <w:tbl>
      <w:tblPr>
        <w:tblStyle w:val="TableGrid"/>
        <w:tblW w:type="dxa" w:w="12816"/>
        <w:jc w:val="center"/>
        <w:tblLayout w:type="fixed"/>
        <w:tblCellMar>
          <w:top w:w="30" w:type="dxa"/>
          <w:left w:w="70" w:type="dxa"/>
          <w:bottom w:w="30" w:type="dxa"/>
          <w:right w:w="70" w:type="dxa"/>
        </w:tblCellMar>
        <w:tblLook w:firstColumn="1" w:firstRow="1" w:lastColumn="0" w:lastRow="0" w:noHBand="0" w:noVBand="1" w:val="04A0"/>
      </w:tblPr>
      <w:tblGrid>
        <w:gridCol w:w="4896"/>
        <w:gridCol w:w="1584"/>
        <w:gridCol w:w="1584"/>
        <w:gridCol w:w="2015"/>
        <w:gridCol w:w="1584"/>
        <w:gridCol w:w="1152"/>
      </w:tblGrid>
      <w:tr>
        <w:trPr>
          <w:cantSplit w:val="true"/>
          <w:tblHeader w:val="true"/>
        </w:trPr>
        <w:tc>
          <w:tcPr>
            <w:tcW w:type="dxa" w:w="4896"/>
            <w:shd w:val="clear" w:color="auto" w:fill="E8EDF4"/>
          </w:tcPr>
          <w:p>
            <w:pPr>
              <w:spacing w:after="0" w:line="240" w:lineRule="auto"/>
            </w:pPr>
            <w:r/>
            <w:r>
              <w:rPr>
                <w:b/>
                <w:sz w:val="16"/>
              </w:rPr>
              <w:t>System Organ Class / Preferred Term</w:t>
            </w:r>
          </w:p>
        </w:tc>
        <w:tc>
          <w:tcPr>
            <w:tcW w:type="dxa" w:w="1584"/>
            <w:shd w:val="clear" w:color="auto" w:fill="E8EDF4"/>
          </w:tcPr>
          <w:p>
            <w:pPr>
              <w:spacing w:after="0" w:line="240" w:lineRule="auto"/>
            </w:pPr>
            <w:r/>
            <w:r>
              <w:rPr>
                <w:b/>
                <w:sz w:val="16"/>
              </w:rPr>
              <w:t>XB-7, XB-201</w:t>
            </w:r>
          </w:p>
        </w:tc>
        <w:tc>
          <w:tcPr>
            <w:tcW w:type="dxa" w:w="1584"/>
            <w:shd w:val="clear" w:color="auto" w:fill="E8EDF4"/>
          </w:tcPr>
          <w:p>
            <w:pPr>
              <w:spacing w:after="0" w:line="240" w:lineRule="auto"/>
            </w:pPr>
            <w:r/>
            <w:r>
              <w:rPr>
                <w:b/>
                <w:sz w:val="16"/>
              </w:rPr>
              <w:t>Placebo, XB-201</w:t>
            </w:r>
          </w:p>
        </w:tc>
        <w:tc>
          <w:tcPr>
            <w:tcW w:type="dxa" w:w="2016"/>
            <w:shd w:val="clear" w:color="auto" w:fill="E8EDF4"/>
          </w:tcPr>
          <w:p>
            <w:pPr>
              <w:spacing w:after="0" w:line="240" w:lineRule="auto"/>
            </w:pPr>
            <w:r/>
            <w:r>
              <w:rPr>
                <w:b/>
                <w:sz w:val="16"/>
              </w:rPr>
              <w:t>Blinded, XB-301</w:t>
            </w:r>
          </w:p>
        </w:tc>
        <w:tc>
          <w:tcPr>
            <w:tcW w:type="dxa" w:w="1584"/>
            <w:shd w:val="clear" w:color="auto" w:fill="E8EDF4"/>
          </w:tcPr>
          <w:p>
            <w:pPr>
              <w:spacing w:after="0" w:line="240" w:lineRule="auto"/>
            </w:pPr>
            <w:r/>
            <w:r>
              <w:rPr>
                <w:b/>
                <w:sz w:val="16"/>
              </w:rPr>
              <w:t>XB-7, XB-302</w:t>
            </w:r>
          </w:p>
        </w:tc>
        <w:tc>
          <w:tcPr>
            <w:tcW w:type="dxa" w:w="1152"/>
            <w:shd w:val="clear" w:color="auto" w:fill="E8EDF4"/>
          </w:tcPr>
          <w:p>
            <w:pPr>
              <w:spacing w:after="0" w:line="240" w:lineRule="auto"/>
            </w:pPr>
            <w:r/>
            <w:r>
              <w:rPr>
                <w:b/>
                <w:sz w:val="16"/>
              </w:rPr>
              <w:t>Total</w:t>
            </w:r>
          </w:p>
        </w:tc>
      </w:tr>
      <w:tr>
        <w:trPr>
          <w:cantSplit w:val="true"/>
        </w:trPr>
        <w:tc>
          <w:tcPr>
            <w:tcW w:type="dxa" w:w="4896"/>
            <w:shd w:val="clear" w:color="auto" w:fill="F4F6FA"/>
          </w:tcPr>
          <w:p>
            <w:pPr>
              <w:spacing w:after="0" w:line="240" w:lineRule="auto"/>
            </w:pPr>
            <w:r/>
            <w:r>
              <w:rPr>
                <w:b/>
                <w:sz w:val="16"/>
              </w:rPr>
              <w:t>Infections and infestations</w:t>
            </w:r>
          </w:p>
        </w:tc>
        <w:tc>
          <w:tcPr>
            <w:tcW w:type="dxa" w:w="1584"/>
            <w:shd w:val="clear" w:color="auto" w:fill="F4F6FA"/>
          </w:tcPr>
          <w:p>
            <w:pPr>
              <w:spacing w:after="0" w:line="240" w:lineRule="auto"/>
            </w:pPr>
            <w:r/>
            <w:r>
              <w:rPr>
                <w:b/>
                <w:sz w:val="16"/>
              </w:rPr>
              <w:t>6</w:t>
            </w:r>
          </w:p>
        </w:tc>
        <w:tc>
          <w:tcPr>
            <w:tcW w:type="dxa" w:w="1584"/>
            <w:shd w:val="clear" w:color="auto" w:fill="F4F6FA"/>
          </w:tcPr>
          <w:p>
            <w:pPr>
              <w:spacing w:after="0" w:line="240" w:lineRule="auto"/>
            </w:pPr>
            <w:r/>
            <w:r>
              <w:rPr>
                <w:b/>
                <w:sz w:val="16"/>
              </w:rPr>
              <w:t>2</w:t>
            </w:r>
          </w:p>
        </w:tc>
        <w:tc>
          <w:tcPr>
            <w:tcW w:type="dxa" w:w="2016"/>
            <w:shd w:val="clear" w:color="auto" w:fill="F4F6FA"/>
          </w:tcPr>
          <w:p>
            <w:pPr>
              <w:spacing w:after="0" w:line="240" w:lineRule="auto"/>
            </w:pPr>
            <w:r/>
            <w:r>
              <w:rPr>
                <w:b/>
                <w:sz w:val="16"/>
              </w:rPr>
              <w:t>16</w:t>
            </w:r>
          </w:p>
        </w:tc>
        <w:tc>
          <w:tcPr>
            <w:tcW w:type="dxa" w:w="1584"/>
            <w:shd w:val="clear" w:color="auto" w:fill="F4F6FA"/>
          </w:tcPr>
          <w:p>
            <w:pPr>
              <w:spacing w:after="0" w:line="240" w:lineRule="auto"/>
            </w:pPr>
            <w:r/>
            <w:r>
              <w:rPr>
                <w:b/>
                <w:sz w:val="16"/>
              </w:rPr>
              <w:t>7</w:t>
            </w:r>
          </w:p>
        </w:tc>
        <w:tc>
          <w:tcPr>
            <w:tcW w:type="dxa" w:w="1152"/>
            <w:shd w:val="clear" w:color="auto" w:fill="F4F6FA"/>
          </w:tcPr>
          <w:p>
            <w:pPr>
              <w:spacing w:after="0" w:line="240" w:lineRule="auto"/>
            </w:pPr>
            <w:r/>
            <w:r>
              <w:rPr>
                <w:b/>
                <w:sz w:val="16"/>
              </w:rPr>
              <w:t>31</w:t>
            </w:r>
          </w:p>
        </w:tc>
      </w:tr>
      <w:tr>
        <w:trPr>
          <w:cantSplit w:val="true"/>
        </w:trPr>
        <w:tc>
          <w:tcPr>
            <w:tcW w:type="dxa" w:w="4896"/>
          </w:tcPr>
          <w:p>
            <w:pPr>
              <w:spacing w:after="0" w:line="240" w:lineRule="auto"/>
            </w:pPr>
            <w:r/>
            <w:r>
              <w:rPr>
                <w:sz w:val="16"/>
              </w:rPr>
              <w:t xml:space="preserve">    Cellulitis</w:t>
            </w:r>
          </w:p>
        </w:tc>
        <w:tc>
          <w:tcPr>
            <w:tcW w:type="dxa" w:w="1584"/>
          </w:tcPr>
          <w:p>
            <w:pPr>
              <w:spacing w:after="0" w:line="240" w:lineRule="auto"/>
            </w:pPr>
            <w:r/>
            <w:r>
              <w:rPr>
                <w:sz w:val="16"/>
              </w:rPr>
              <w:t>2</w:t>
            </w:r>
          </w:p>
        </w:tc>
        <w:tc>
          <w:tcPr>
            <w:tcW w:type="dxa" w:w="1584"/>
          </w:tcPr>
          <w:p>
            <w:pPr>
              <w:spacing w:after="0" w:line="240" w:lineRule="auto"/>
            </w:pPr>
            <w:r/>
            <w:r>
              <w:rPr>
                <w:sz w:val="16"/>
              </w:rPr>
              <w:t>1</w:t>
            </w:r>
          </w:p>
        </w:tc>
        <w:tc>
          <w:tcPr>
            <w:tcW w:type="dxa" w:w="2016"/>
          </w:tcPr>
          <w:p>
            <w:pPr>
              <w:spacing w:after="0" w:line="240" w:lineRule="auto"/>
            </w:pPr>
            <w:r/>
            <w:r>
              <w:rPr>
                <w:sz w:val="16"/>
              </w:rPr>
              <w:t>6</w:t>
            </w:r>
          </w:p>
        </w:tc>
        <w:tc>
          <w:tcPr>
            <w:tcW w:type="dxa" w:w="1584"/>
          </w:tcPr>
          <w:p>
            <w:pPr>
              <w:spacing w:after="0" w:line="240" w:lineRule="auto"/>
            </w:pPr>
            <w:r/>
            <w:r>
              <w:rPr>
                <w:sz w:val="16"/>
              </w:rPr>
              <w:t>2</w:t>
            </w:r>
          </w:p>
        </w:tc>
        <w:tc>
          <w:tcPr>
            <w:tcW w:type="dxa" w:w="1152"/>
          </w:tcPr>
          <w:p>
            <w:pPr>
              <w:spacing w:after="0" w:line="240" w:lineRule="auto"/>
            </w:pPr>
            <w:r/>
            <w:r>
              <w:rPr>
                <w:sz w:val="16"/>
              </w:rPr>
              <w:t>11</w:t>
            </w:r>
          </w:p>
        </w:tc>
      </w:tr>
      <w:tr>
        <w:trPr>
          <w:cantSplit w:val="true"/>
        </w:trPr>
        <w:tc>
          <w:tcPr>
            <w:tcW w:type="dxa" w:w="4896"/>
          </w:tcPr>
          <w:p>
            <w:pPr>
              <w:spacing w:after="0" w:line="240" w:lineRule="auto"/>
            </w:pPr>
            <w:r/>
            <w:r>
              <w:rPr>
                <w:sz w:val="16"/>
              </w:rPr>
              <w:t xml:space="preserve">    Pneumonia</w:t>
            </w:r>
          </w:p>
        </w:tc>
        <w:tc>
          <w:tcPr>
            <w:tcW w:type="dxa" w:w="1584"/>
          </w:tcPr>
          <w:p>
            <w:pPr>
              <w:spacing w:after="0" w:line="240" w:lineRule="auto"/>
            </w:pPr>
            <w:r/>
            <w:r>
              <w:rPr>
                <w:sz w:val="16"/>
              </w:rPr>
              <w:t>4</w:t>
            </w:r>
          </w:p>
        </w:tc>
        <w:tc>
          <w:tcPr>
            <w:tcW w:type="dxa" w:w="1584"/>
          </w:tcPr>
          <w:p>
            <w:pPr>
              <w:spacing w:after="0" w:line="240" w:lineRule="auto"/>
            </w:pPr>
            <w:r/>
            <w:r>
              <w:rPr>
                <w:sz w:val="16"/>
              </w:rPr>
              <w:t>1</w:t>
            </w:r>
          </w:p>
        </w:tc>
        <w:tc>
          <w:tcPr>
            <w:tcW w:type="dxa" w:w="2016"/>
          </w:tcPr>
          <w:p>
            <w:pPr>
              <w:spacing w:after="0" w:line="240" w:lineRule="auto"/>
            </w:pPr>
            <w:r/>
            <w:r>
              <w:rPr>
                <w:sz w:val="16"/>
              </w:rPr>
              <w:t>8</w:t>
            </w:r>
          </w:p>
        </w:tc>
        <w:tc>
          <w:tcPr>
            <w:tcW w:type="dxa" w:w="1584"/>
          </w:tcPr>
          <w:p>
            <w:pPr>
              <w:spacing w:after="0" w:line="240" w:lineRule="auto"/>
            </w:pPr>
            <w:r/>
            <w:r>
              <w:rPr>
                <w:sz w:val="16"/>
              </w:rPr>
              <w:t>4</w:t>
            </w:r>
          </w:p>
        </w:tc>
        <w:tc>
          <w:tcPr>
            <w:tcW w:type="dxa" w:w="1152"/>
          </w:tcPr>
          <w:p>
            <w:pPr>
              <w:spacing w:after="0" w:line="240" w:lineRule="auto"/>
            </w:pPr>
            <w:r/>
            <w:r>
              <w:rPr>
                <w:sz w:val="16"/>
              </w:rPr>
              <w:t>17</w:t>
            </w:r>
          </w:p>
        </w:tc>
      </w:tr>
      <w:tr>
        <w:trPr>
          <w:cantSplit w:val="true"/>
        </w:trPr>
        <w:tc>
          <w:tcPr>
            <w:tcW w:type="dxa" w:w="4896"/>
          </w:tcPr>
          <w:p>
            <w:pPr>
              <w:spacing w:after="0" w:line="240" w:lineRule="auto"/>
            </w:pPr>
            <w:r/>
            <w:r>
              <w:rPr>
                <w:sz w:val="16"/>
              </w:rPr>
              <w:t xml:space="preserve">    Sepsis</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2</w:t>
            </w:r>
          </w:p>
        </w:tc>
        <w:tc>
          <w:tcPr>
            <w:tcW w:type="dxa" w:w="1584"/>
          </w:tcPr>
          <w:p>
            <w:pPr>
              <w:spacing w:after="0" w:line="240" w:lineRule="auto"/>
            </w:pPr>
            <w:r/>
            <w:r>
              <w:rPr>
                <w:sz w:val="16"/>
              </w:rPr>
              <w:t>1</w:t>
            </w:r>
          </w:p>
        </w:tc>
        <w:tc>
          <w:tcPr>
            <w:tcW w:type="dxa" w:w="1152"/>
          </w:tcPr>
          <w:p>
            <w:pPr>
              <w:spacing w:after="0" w:line="240" w:lineRule="auto"/>
            </w:pPr>
            <w:r/>
            <w:r>
              <w:rPr>
                <w:sz w:val="16"/>
              </w:rPr>
              <w:t>3</w:t>
            </w:r>
          </w:p>
        </w:tc>
      </w:tr>
      <w:tr>
        <w:trPr>
          <w:cantSplit w:val="true"/>
        </w:trPr>
        <w:tc>
          <w:tcPr>
            <w:tcW w:type="dxa" w:w="4896"/>
            <w:shd w:val="clear" w:color="auto" w:fill="F4F6FA"/>
          </w:tcPr>
          <w:p>
            <w:pPr>
              <w:spacing w:after="0" w:line="240" w:lineRule="auto"/>
            </w:pPr>
            <w:r/>
            <w:r>
              <w:rPr>
                <w:b/>
                <w:sz w:val="16"/>
              </w:rPr>
              <w:t>Immune system disorders</w:t>
            </w:r>
          </w:p>
        </w:tc>
        <w:tc>
          <w:tcPr>
            <w:tcW w:type="dxa" w:w="1584"/>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0</w:t>
            </w:r>
          </w:p>
        </w:tc>
        <w:tc>
          <w:tcPr>
            <w:tcW w:type="dxa" w:w="2016"/>
            <w:shd w:val="clear" w:color="auto" w:fill="F4F6FA"/>
          </w:tcPr>
          <w:p>
            <w:pPr>
              <w:spacing w:after="0" w:line="240" w:lineRule="auto"/>
            </w:pPr>
            <w:r/>
            <w:r>
              <w:rPr>
                <w:b/>
                <w:sz w:val="16"/>
              </w:rPr>
              <w:t>0</w:t>
            </w:r>
          </w:p>
        </w:tc>
        <w:tc>
          <w:tcPr>
            <w:tcW w:type="dxa" w:w="1584"/>
            <w:shd w:val="clear" w:color="auto" w:fill="F4F6FA"/>
          </w:tcPr>
          <w:p>
            <w:pPr>
              <w:spacing w:after="0" w:line="240" w:lineRule="auto"/>
            </w:pPr>
            <w:r/>
            <w:r>
              <w:rPr>
                <w:b/>
                <w:sz w:val="16"/>
              </w:rPr>
              <w:t>0</w:t>
            </w:r>
          </w:p>
        </w:tc>
        <w:tc>
          <w:tcPr>
            <w:tcW w:type="dxa" w:w="1152"/>
            <w:shd w:val="clear" w:color="auto" w:fill="F4F6FA"/>
          </w:tcPr>
          <w:p>
            <w:pPr>
              <w:spacing w:after="0" w:line="240" w:lineRule="auto"/>
            </w:pPr>
            <w:r/>
            <w:r>
              <w:rPr>
                <w:b/>
                <w:sz w:val="16"/>
              </w:rPr>
              <w:t>1</w:t>
            </w:r>
          </w:p>
        </w:tc>
      </w:tr>
      <w:tr>
        <w:trPr>
          <w:cantSplit w:val="true"/>
        </w:trPr>
        <w:tc>
          <w:tcPr>
            <w:tcW w:type="dxa" w:w="4896"/>
          </w:tcPr>
          <w:p>
            <w:pPr>
              <w:spacing w:after="0" w:line="240" w:lineRule="auto"/>
            </w:pPr>
            <w:r/>
            <w:r>
              <w:rPr>
                <w:sz w:val="16"/>
              </w:rPr>
              <w:t xml:space="preserve">    Hypersensitivity</w:t>
            </w:r>
          </w:p>
        </w:tc>
        <w:tc>
          <w:tcPr>
            <w:tcW w:type="dxa" w:w="1584"/>
          </w:tcPr>
          <w:p>
            <w:pPr>
              <w:spacing w:after="0" w:line="240" w:lineRule="auto"/>
            </w:pPr>
            <w:r/>
            <w:r>
              <w:rPr>
                <w:sz w:val="16"/>
              </w:rPr>
              <w:t>1</w:t>
            </w:r>
          </w:p>
        </w:tc>
        <w:tc>
          <w:tcPr>
            <w:tcW w:type="dxa" w:w="1584"/>
          </w:tcPr>
          <w:p>
            <w:pPr>
              <w:spacing w:after="0" w:line="240" w:lineRule="auto"/>
            </w:pPr>
            <w:r/>
            <w:r>
              <w:rPr>
                <w:sz w:val="16"/>
              </w:rPr>
              <w:t>0</w:t>
            </w:r>
          </w:p>
        </w:tc>
        <w:tc>
          <w:tcPr>
            <w:tcW w:type="dxa" w:w="2016"/>
          </w:tcPr>
          <w:p>
            <w:pPr>
              <w:spacing w:after="0" w:line="240" w:lineRule="auto"/>
            </w:pPr>
            <w:r/>
            <w:r>
              <w:rPr>
                <w:sz w:val="16"/>
              </w:rPr>
              <w:t>0</w:t>
            </w:r>
          </w:p>
        </w:tc>
        <w:tc>
          <w:tcPr>
            <w:tcW w:type="dxa" w:w="1584"/>
          </w:tcPr>
          <w:p>
            <w:pPr>
              <w:spacing w:after="0" w:line="240" w:lineRule="auto"/>
            </w:pPr>
            <w:r/>
            <w:r>
              <w:rPr>
                <w:sz w:val="16"/>
              </w:rPr>
              <w:t>0</w:t>
            </w:r>
          </w:p>
        </w:tc>
        <w:tc>
          <w:tcPr>
            <w:tcW w:type="dxa" w:w="1152"/>
          </w:tcPr>
          <w:p>
            <w:pPr>
              <w:spacing w:after="0" w:line="240" w:lineRule="auto"/>
            </w:pPr>
            <w:r/>
            <w:r>
              <w:rPr>
                <w:sz w:val="16"/>
              </w:rPr>
              <w:t>1</w:t>
            </w:r>
          </w:p>
        </w:tc>
      </w:tr>
      <w:tr>
        <w:trPr>
          <w:cantSplit w:val="true"/>
        </w:trPr>
        <w:tc>
          <w:tcPr>
            <w:tcW w:type="dxa" w:w="4896"/>
            <w:shd w:val="clear" w:color="auto" w:fill="F4F6FA"/>
          </w:tcPr>
          <w:p>
            <w:pPr>
              <w:spacing w:after="0" w:line="240" w:lineRule="auto"/>
            </w:pPr>
            <w:r/>
            <w:r>
              <w:rPr>
                <w:b/>
                <w:sz w:val="16"/>
              </w:rPr>
              <w:t>Nervous system disorders</w:t>
            </w:r>
          </w:p>
        </w:tc>
        <w:tc>
          <w:tcPr>
            <w:tcW w:type="dxa" w:w="1584"/>
            <w:shd w:val="clear" w:color="auto" w:fill="F4F6FA"/>
          </w:tcPr>
          <w:p>
            <w:pPr>
              <w:spacing w:after="0" w:line="240" w:lineRule="auto"/>
            </w:pPr>
            <w:r/>
            <w:r>
              <w:rPr>
                <w:b/>
                <w:sz w:val="16"/>
              </w:rPr>
              <w:t>2</w:t>
            </w:r>
          </w:p>
        </w:tc>
        <w:tc>
          <w:tcPr>
            <w:tcW w:type="dxa" w:w="1584"/>
            <w:shd w:val="clear" w:color="auto" w:fill="F4F6FA"/>
          </w:tcPr>
          <w:p>
            <w:pPr>
              <w:spacing w:after="0" w:line="240" w:lineRule="auto"/>
            </w:pPr>
            <w:r/>
            <w:r>
              <w:rPr>
                <w:b/>
                <w:sz w:val="16"/>
              </w:rPr>
              <w:t>3</w:t>
            </w:r>
          </w:p>
        </w:tc>
        <w:tc>
          <w:tcPr>
            <w:tcW w:type="dxa" w:w="2016"/>
            <w:shd w:val="clear" w:color="auto" w:fill="F4F6FA"/>
          </w:tcPr>
          <w:p>
            <w:pPr>
              <w:spacing w:after="0" w:line="240" w:lineRule="auto"/>
            </w:pPr>
            <w:r/>
            <w:r>
              <w:rPr>
                <w:b/>
                <w:sz w:val="16"/>
              </w:rPr>
              <w:t>2</w:t>
            </w:r>
          </w:p>
        </w:tc>
        <w:tc>
          <w:tcPr>
            <w:tcW w:type="dxa" w:w="1584"/>
            <w:shd w:val="clear" w:color="auto" w:fill="F4F6FA"/>
          </w:tcPr>
          <w:p>
            <w:pPr>
              <w:spacing w:after="0" w:line="240" w:lineRule="auto"/>
            </w:pPr>
            <w:r/>
            <w:r>
              <w:rPr>
                <w:b/>
                <w:sz w:val="16"/>
              </w:rPr>
              <w:t>2</w:t>
            </w:r>
          </w:p>
        </w:tc>
        <w:tc>
          <w:tcPr>
            <w:tcW w:type="dxa" w:w="1152"/>
            <w:shd w:val="clear" w:color="auto" w:fill="F4F6FA"/>
          </w:tcPr>
          <w:p>
            <w:pPr>
              <w:spacing w:after="0" w:line="240" w:lineRule="auto"/>
            </w:pPr>
            <w:r/>
            <w:r>
              <w:rPr>
                <w:b/>
                <w:sz w:val="16"/>
              </w:rPr>
              <w:t>9</w:t>
            </w:r>
          </w:p>
        </w:tc>
      </w:tr>
      <w:tr>
        <w:trPr>
          <w:cantSplit w:val="true"/>
        </w:trPr>
        <w:tc>
          <w:tcPr>
            <w:tcW w:type="dxa" w:w="4896"/>
          </w:tcPr>
          <w:p>
            <w:pPr>
              <w:spacing w:after="0" w:line="240" w:lineRule="auto"/>
            </w:pPr>
            <w:r/>
            <w:r>
              <w:rPr>
                <w:sz w:val="16"/>
              </w:rPr>
              <w:t xml:space="preserve">    Migraine</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1</w:t>
            </w:r>
          </w:p>
        </w:tc>
        <w:tc>
          <w:tcPr>
            <w:tcW w:type="dxa" w:w="1584"/>
          </w:tcPr>
          <w:p>
            <w:pPr>
              <w:spacing w:after="0" w:line="240" w:lineRule="auto"/>
            </w:pPr>
            <w:r/>
            <w:r>
              <w:rPr>
                <w:sz w:val="16"/>
              </w:rPr>
              <w:t>1</w:t>
            </w:r>
          </w:p>
        </w:tc>
        <w:tc>
          <w:tcPr>
            <w:tcW w:type="dxa" w:w="1152"/>
          </w:tcPr>
          <w:p>
            <w:pPr>
              <w:spacing w:after="0" w:line="240" w:lineRule="auto"/>
            </w:pPr>
            <w:r/>
            <w:r>
              <w:rPr>
                <w:sz w:val="16"/>
              </w:rPr>
              <w:t>2</w:t>
            </w:r>
          </w:p>
        </w:tc>
      </w:tr>
      <w:tr>
        <w:trPr>
          <w:cantSplit w:val="true"/>
        </w:trPr>
        <w:tc>
          <w:tcPr>
            <w:tcW w:type="dxa" w:w="4896"/>
          </w:tcPr>
          <w:p>
            <w:pPr>
              <w:spacing w:after="0" w:line="240" w:lineRule="auto"/>
            </w:pPr>
            <w:r/>
            <w:r>
              <w:rPr>
                <w:sz w:val="16"/>
              </w:rPr>
              <w:t xml:space="preserve">    Seizure</w:t>
            </w:r>
          </w:p>
        </w:tc>
        <w:tc>
          <w:tcPr>
            <w:tcW w:type="dxa" w:w="1584"/>
          </w:tcPr>
          <w:p>
            <w:pPr>
              <w:spacing w:after="0" w:line="240" w:lineRule="auto"/>
            </w:pPr>
            <w:r/>
            <w:r>
              <w:rPr>
                <w:sz w:val="16"/>
              </w:rPr>
              <w:t>1</w:t>
            </w:r>
          </w:p>
        </w:tc>
        <w:tc>
          <w:tcPr>
            <w:tcW w:type="dxa" w:w="1584"/>
          </w:tcPr>
          <w:p>
            <w:pPr>
              <w:spacing w:after="0" w:line="240" w:lineRule="auto"/>
            </w:pPr>
            <w:r/>
            <w:r>
              <w:rPr>
                <w:sz w:val="16"/>
              </w:rPr>
              <w:t>1</w:t>
            </w:r>
          </w:p>
        </w:tc>
        <w:tc>
          <w:tcPr>
            <w:tcW w:type="dxa" w:w="2016"/>
          </w:tcPr>
          <w:p>
            <w:pPr>
              <w:spacing w:after="0" w:line="240" w:lineRule="auto"/>
            </w:pPr>
            <w:r/>
            <w:r>
              <w:rPr>
                <w:sz w:val="16"/>
              </w:rPr>
              <w:t>0</w:t>
            </w:r>
          </w:p>
        </w:tc>
        <w:tc>
          <w:tcPr>
            <w:tcW w:type="dxa" w:w="1584"/>
          </w:tcPr>
          <w:p>
            <w:pPr>
              <w:spacing w:after="0" w:line="240" w:lineRule="auto"/>
            </w:pPr>
            <w:r/>
            <w:r>
              <w:rPr>
                <w:sz w:val="16"/>
              </w:rPr>
              <w:t>0</w:t>
            </w:r>
          </w:p>
        </w:tc>
        <w:tc>
          <w:tcPr>
            <w:tcW w:type="dxa" w:w="1152"/>
          </w:tcPr>
          <w:p>
            <w:pPr>
              <w:spacing w:after="0" w:line="240" w:lineRule="auto"/>
            </w:pPr>
            <w:r/>
            <w:r>
              <w:rPr>
                <w:sz w:val="16"/>
              </w:rPr>
              <w:t>2</w:t>
            </w:r>
          </w:p>
        </w:tc>
      </w:tr>
      <w:tr>
        <w:trPr>
          <w:cantSplit w:val="true"/>
        </w:trPr>
        <w:tc>
          <w:tcPr>
            <w:tcW w:type="dxa" w:w="4896"/>
          </w:tcPr>
          <w:p>
            <w:pPr>
              <w:spacing w:after="0" w:line="240" w:lineRule="auto"/>
            </w:pPr>
            <w:r/>
            <w:r>
              <w:rPr>
                <w:sz w:val="16"/>
              </w:rPr>
              <w:t xml:space="preserve">    Syncope</w:t>
            </w:r>
          </w:p>
        </w:tc>
        <w:tc>
          <w:tcPr>
            <w:tcW w:type="dxa" w:w="1584"/>
          </w:tcPr>
          <w:p>
            <w:pPr>
              <w:spacing w:after="0" w:line="240" w:lineRule="auto"/>
            </w:pPr>
            <w:r/>
            <w:r>
              <w:rPr>
                <w:sz w:val="16"/>
              </w:rPr>
              <w:t>1</w:t>
            </w:r>
          </w:p>
        </w:tc>
        <w:tc>
          <w:tcPr>
            <w:tcW w:type="dxa" w:w="1584"/>
          </w:tcPr>
          <w:p>
            <w:pPr>
              <w:spacing w:after="0" w:line="240" w:lineRule="auto"/>
            </w:pPr>
            <w:r/>
            <w:r>
              <w:rPr>
                <w:sz w:val="16"/>
              </w:rPr>
              <w:t>2</w:t>
            </w:r>
          </w:p>
        </w:tc>
        <w:tc>
          <w:tcPr>
            <w:tcW w:type="dxa" w:w="2016"/>
          </w:tcPr>
          <w:p>
            <w:pPr>
              <w:spacing w:after="0" w:line="240" w:lineRule="auto"/>
            </w:pPr>
            <w:r/>
            <w:r>
              <w:rPr>
                <w:sz w:val="16"/>
              </w:rPr>
              <w:t>1</w:t>
            </w:r>
          </w:p>
        </w:tc>
        <w:tc>
          <w:tcPr>
            <w:tcW w:type="dxa" w:w="1584"/>
          </w:tcPr>
          <w:p>
            <w:pPr>
              <w:spacing w:after="0" w:line="240" w:lineRule="auto"/>
            </w:pPr>
            <w:r/>
            <w:r>
              <w:rPr>
                <w:sz w:val="16"/>
              </w:rPr>
              <w:t>1</w:t>
            </w:r>
          </w:p>
        </w:tc>
        <w:tc>
          <w:tcPr>
            <w:tcW w:type="dxa" w:w="1152"/>
          </w:tcPr>
          <w:p>
            <w:pPr>
              <w:spacing w:after="0" w:line="240" w:lineRule="auto"/>
            </w:pPr>
            <w:r/>
            <w:r>
              <w:rPr>
                <w:sz w:val="16"/>
              </w:rPr>
              <w:t>5</w:t>
            </w:r>
          </w:p>
        </w:tc>
      </w:tr>
      <w:tr>
        <w:trPr>
          <w:cantSplit w:val="true"/>
        </w:trPr>
        <w:tc>
          <w:tcPr>
            <w:tcW w:type="dxa" w:w="4896"/>
            <w:shd w:val="clear" w:color="auto" w:fill="F4F6FA"/>
          </w:tcPr>
          <w:p>
            <w:pPr>
              <w:spacing w:after="0" w:line="240" w:lineRule="auto"/>
            </w:pPr>
            <w:r/>
            <w:r>
              <w:rPr>
                <w:b/>
                <w:sz w:val="16"/>
              </w:rPr>
              <w:t>Cardiac disorders</w:t>
            </w:r>
          </w:p>
        </w:tc>
        <w:tc>
          <w:tcPr>
            <w:tcW w:type="dxa" w:w="1584"/>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1</w:t>
            </w:r>
          </w:p>
        </w:tc>
        <w:tc>
          <w:tcPr>
            <w:tcW w:type="dxa" w:w="2016"/>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1</w:t>
            </w:r>
          </w:p>
        </w:tc>
        <w:tc>
          <w:tcPr>
            <w:tcW w:type="dxa" w:w="1152"/>
            <w:shd w:val="clear" w:color="auto" w:fill="F4F6FA"/>
          </w:tcPr>
          <w:p>
            <w:pPr>
              <w:spacing w:after="0" w:line="240" w:lineRule="auto"/>
            </w:pPr>
            <w:r/>
            <w:r>
              <w:rPr>
                <w:b/>
                <w:sz w:val="16"/>
              </w:rPr>
              <w:t>4</w:t>
            </w:r>
          </w:p>
        </w:tc>
      </w:tr>
      <w:tr>
        <w:trPr>
          <w:cantSplit w:val="true"/>
        </w:trPr>
        <w:tc>
          <w:tcPr>
            <w:tcW w:type="dxa" w:w="4896"/>
          </w:tcPr>
          <w:p>
            <w:pPr>
              <w:spacing w:after="0" w:line="240" w:lineRule="auto"/>
            </w:pPr>
            <w:r/>
            <w:r>
              <w:rPr>
                <w:sz w:val="16"/>
              </w:rPr>
              <w:t xml:space="preserve">    Atrial fibrillation</w:t>
            </w:r>
          </w:p>
        </w:tc>
        <w:tc>
          <w:tcPr>
            <w:tcW w:type="dxa" w:w="1584"/>
          </w:tcPr>
          <w:p>
            <w:pPr>
              <w:spacing w:after="0" w:line="240" w:lineRule="auto"/>
            </w:pPr>
            <w:r/>
            <w:r>
              <w:rPr>
                <w:sz w:val="16"/>
              </w:rPr>
              <w:t>1</w:t>
            </w:r>
          </w:p>
        </w:tc>
        <w:tc>
          <w:tcPr>
            <w:tcW w:type="dxa" w:w="1584"/>
          </w:tcPr>
          <w:p>
            <w:pPr>
              <w:spacing w:after="0" w:line="240" w:lineRule="auto"/>
            </w:pPr>
            <w:r/>
            <w:r>
              <w:rPr>
                <w:sz w:val="16"/>
              </w:rPr>
              <w:t>0</w:t>
            </w:r>
          </w:p>
        </w:tc>
        <w:tc>
          <w:tcPr>
            <w:tcW w:type="dxa" w:w="2016"/>
          </w:tcPr>
          <w:p>
            <w:pPr>
              <w:spacing w:after="0" w:line="240" w:lineRule="auto"/>
            </w:pPr>
            <w:r/>
            <w:r>
              <w:rPr>
                <w:sz w:val="16"/>
              </w:rPr>
              <w:t>1</w:t>
            </w:r>
          </w:p>
        </w:tc>
        <w:tc>
          <w:tcPr>
            <w:tcW w:type="dxa" w:w="1584"/>
          </w:tcPr>
          <w:p>
            <w:pPr>
              <w:spacing w:after="0" w:line="240" w:lineRule="auto"/>
            </w:pPr>
            <w:r/>
            <w:r>
              <w:rPr>
                <w:sz w:val="16"/>
              </w:rPr>
              <w:t>0</w:t>
            </w:r>
          </w:p>
        </w:tc>
        <w:tc>
          <w:tcPr>
            <w:tcW w:type="dxa" w:w="1152"/>
          </w:tcPr>
          <w:p>
            <w:pPr>
              <w:spacing w:after="0" w:line="240" w:lineRule="auto"/>
            </w:pPr>
            <w:r/>
            <w:r>
              <w:rPr>
                <w:sz w:val="16"/>
              </w:rPr>
              <w:t>2</w:t>
            </w:r>
          </w:p>
        </w:tc>
      </w:tr>
      <w:tr>
        <w:trPr>
          <w:cantSplit w:val="true"/>
        </w:trPr>
        <w:tc>
          <w:tcPr>
            <w:tcW w:type="dxa" w:w="4896"/>
          </w:tcPr>
          <w:p>
            <w:pPr>
              <w:spacing w:after="0" w:line="240" w:lineRule="auto"/>
            </w:pPr>
            <w:r/>
            <w:r>
              <w:rPr>
                <w:sz w:val="16"/>
              </w:rPr>
              <w:t xml:space="preserve">    Myocardial infarction</w:t>
            </w:r>
          </w:p>
        </w:tc>
        <w:tc>
          <w:tcPr>
            <w:tcW w:type="dxa" w:w="1584"/>
          </w:tcPr>
          <w:p>
            <w:pPr>
              <w:spacing w:after="0" w:line="240" w:lineRule="auto"/>
            </w:pPr>
            <w:r/>
            <w:r>
              <w:rPr>
                <w:sz w:val="16"/>
              </w:rPr>
              <w:t>0</w:t>
            </w:r>
          </w:p>
        </w:tc>
        <w:tc>
          <w:tcPr>
            <w:tcW w:type="dxa" w:w="1584"/>
          </w:tcPr>
          <w:p>
            <w:pPr>
              <w:spacing w:after="0" w:line="240" w:lineRule="auto"/>
            </w:pPr>
            <w:r/>
            <w:r>
              <w:rPr>
                <w:sz w:val="16"/>
              </w:rPr>
              <w:t>1</w:t>
            </w:r>
          </w:p>
        </w:tc>
        <w:tc>
          <w:tcPr>
            <w:tcW w:type="dxa" w:w="2016"/>
          </w:tcPr>
          <w:p>
            <w:pPr>
              <w:spacing w:after="0" w:line="240" w:lineRule="auto"/>
            </w:pPr>
            <w:r/>
            <w:r>
              <w:rPr>
                <w:sz w:val="16"/>
              </w:rPr>
              <w:t>0</w:t>
            </w:r>
          </w:p>
        </w:tc>
        <w:tc>
          <w:tcPr>
            <w:tcW w:type="dxa" w:w="1584"/>
          </w:tcPr>
          <w:p>
            <w:pPr>
              <w:spacing w:after="0" w:line="240" w:lineRule="auto"/>
            </w:pPr>
            <w:r/>
            <w:r>
              <w:rPr>
                <w:sz w:val="16"/>
              </w:rPr>
              <w:t>1</w:t>
            </w:r>
          </w:p>
        </w:tc>
        <w:tc>
          <w:tcPr>
            <w:tcW w:type="dxa" w:w="1152"/>
          </w:tcPr>
          <w:p>
            <w:pPr>
              <w:spacing w:after="0" w:line="240" w:lineRule="auto"/>
            </w:pPr>
            <w:r/>
            <w:r>
              <w:rPr>
                <w:sz w:val="16"/>
              </w:rPr>
              <w:t>2</w:t>
            </w:r>
          </w:p>
        </w:tc>
      </w:tr>
      <w:tr>
        <w:trPr>
          <w:cantSplit w:val="true"/>
        </w:trPr>
        <w:tc>
          <w:tcPr>
            <w:tcW w:type="dxa" w:w="4896"/>
            <w:shd w:val="clear" w:color="auto" w:fill="F4F6FA"/>
          </w:tcPr>
          <w:p>
            <w:pPr>
              <w:spacing w:after="0" w:line="240" w:lineRule="auto"/>
            </w:pPr>
            <w:r/>
            <w:r>
              <w:rPr>
                <w:b/>
                <w:sz w:val="16"/>
              </w:rPr>
              <w:t>Respiratory, thoracic and mediastinal disorders</w:t>
            </w:r>
          </w:p>
        </w:tc>
        <w:tc>
          <w:tcPr>
            <w:tcW w:type="dxa" w:w="1584"/>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0</w:t>
            </w:r>
          </w:p>
        </w:tc>
        <w:tc>
          <w:tcPr>
            <w:tcW w:type="dxa" w:w="2016"/>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0</w:t>
            </w:r>
          </w:p>
        </w:tc>
        <w:tc>
          <w:tcPr>
            <w:tcW w:type="dxa" w:w="1152"/>
            <w:shd w:val="clear" w:color="auto" w:fill="F4F6FA"/>
          </w:tcPr>
          <w:p>
            <w:pPr>
              <w:spacing w:after="0" w:line="240" w:lineRule="auto"/>
            </w:pPr>
            <w:r/>
            <w:r>
              <w:rPr>
                <w:b/>
                <w:sz w:val="16"/>
              </w:rPr>
              <w:t>2</w:t>
            </w:r>
          </w:p>
        </w:tc>
      </w:tr>
      <w:tr>
        <w:trPr>
          <w:cantSplit w:val="true"/>
        </w:trPr>
        <w:tc>
          <w:tcPr>
            <w:tcW w:type="dxa" w:w="4896"/>
          </w:tcPr>
          <w:p>
            <w:pPr>
              <w:spacing w:after="0" w:line="240" w:lineRule="auto"/>
            </w:pPr>
            <w:r/>
            <w:r>
              <w:rPr>
                <w:sz w:val="16"/>
              </w:rPr>
              <w:t xml:space="preserve">    Asthma</w:t>
            </w:r>
          </w:p>
        </w:tc>
        <w:tc>
          <w:tcPr>
            <w:tcW w:type="dxa" w:w="1584"/>
          </w:tcPr>
          <w:p>
            <w:pPr>
              <w:spacing w:after="0" w:line="240" w:lineRule="auto"/>
            </w:pPr>
            <w:r/>
            <w:r>
              <w:rPr>
                <w:sz w:val="16"/>
              </w:rPr>
              <w:t>1</w:t>
            </w:r>
          </w:p>
        </w:tc>
        <w:tc>
          <w:tcPr>
            <w:tcW w:type="dxa" w:w="1584"/>
          </w:tcPr>
          <w:p>
            <w:pPr>
              <w:spacing w:after="0" w:line="240" w:lineRule="auto"/>
            </w:pPr>
            <w:r/>
            <w:r>
              <w:rPr>
                <w:sz w:val="16"/>
              </w:rPr>
              <w:t>0</w:t>
            </w:r>
          </w:p>
        </w:tc>
        <w:tc>
          <w:tcPr>
            <w:tcW w:type="dxa" w:w="2016"/>
          </w:tcPr>
          <w:p>
            <w:pPr>
              <w:spacing w:after="0" w:line="240" w:lineRule="auto"/>
            </w:pPr>
            <w:r/>
            <w:r>
              <w:rPr>
                <w:sz w:val="16"/>
              </w:rPr>
              <w:t>0</w:t>
            </w:r>
          </w:p>
        </w:tc>
        <w:tc>
          <w:tcPr>
            <w:tcW w:type="dxa" w:w="1584"/>
          </w:tcPr>
          <w:p>
            <w:pPr>
              <w:spacing w:after="0" w:line="240" w:lineRule="auto"/>
            </w:pPr>
            <w:r/>
            <w:r>
              <w:rPr>
                <w:sz w:val="16"/>
              </w:rPr>
              <w:t>0</w:t>
            </w:r>
          </w:p>
        </w:tc>
        <w:tc>
          <w:tcPr>
            <w:tcW w:type="dxa" w:w="1152"/>
          </w:tcPr>
          <w:p>
            <w:pPr>
              <w:spacing w:after="0" w:line="240" w:lineRule="auto"/>
            </w:pPr>
            <w:r/>
            <w:r>
              <w:rPr>
                <w:sz w:val="16"/>
              </w:rPr>
              <w:t>1</w:t>
            </w:r>
          </w:p>
        </w:tc>
      </w:tr>
      <w:tr>
        <w:trPr>
          <w:cantSplit w:val="true"/>
        </w:trPr>
        <w:tc>
          <w:tcPr>
            <w:tcW w:type="dxa" w:w="4896"/>
          </w:tcPr>
          <w:p>
            <w:pPr>
              <w:spacing w:after="0" w:line="240" w:lineRule="auto"/>
            </w:pPr>
            <w:r/>
            <w:r>
              <w:rPr>
                <w:sz w:val="16"/>
              </w:rPr>
              <w:t xml:space="preserve">    Pulmonary embolism</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1</w:t>
            </w:r>
          </w:p>
        </w:tc>
        <w:tc>
          <w:tcPr>
            <w:tcW w:type="dxa" w:w="1584"/>
          </w:tcPr>
          <w:p>
            <w:pPr>
              <w:spacing w:after="0" w:line="240" w:lineRule="auto"/>
            </w:pPr>
            <w:r/>
            <w:r>
              <w:rPr>
                <w:sz w:val="16"/>
              </w:rPr>
              <w:t>0</w:t>
            </w:r>
          </w:p>
        </w:tc>
        <w:tc>
          <w:tcPr>
            <w:tcW w:type="dxa" w:w="1152"/>
          </w:tcPr>
          <w:p>
            <w:pPr>
              <w:spacing w:after="0" w:line="240" w:lineRule="auto"/>
            </w:pPr>
            <w:r/>
            <w:r>
              <w:rPr>
                <w:sz w:val="16"/>
              </w:rPr>
              <w:t>1</w:t>
            </w:r>
          </w:p>
        </w:tc>
      </w:tr>
      <w:tr>
        <w:trPr>
          <w:cantSplit w:val="true"/>
        </w:trPr>
        <w:tc>
          <w:tcPr>
            <w:tcW w:type="dxa" w:w="4896"/>
            <w:shd w:val="clear" w:color="auto" w:fill="F4F6FA"/>
          </w:tcPr>
          <w:p>
            <w:pPr>
              <w:spacing w:after="0" w:line="240" w:lineRule="auto"/>
            </w:pPr>
            <w:r/>
            <w:r>
              <w:rPr>
                <w:b/>
                <w:sz w:val="16"/>
              </w:rPr>
              <w:t>Gastrointestinal disorders</w:t>
            </w:r>
          </w:p>
        </w:tc>
        <w:tc>
          <w:tcPr>
            <w:tcW w:type="dxa" w:w="1584"/>
            <w:shd w:val="clear" w:color="auto" w:fill="F4F6FA"/>
          </w:tcPr>
          <w:p>
            <w:pPr>
              <w:spacing w:after="0" w:line="240" w:lineRule="auto"/>
            </w:pPr>
            <w:r/>
            <w:r>
              <w:rPr>
                <w:b/>
                <w:sz w:val="16"/>
              </w:rPr>
              <w:t>5</w:t>
            </w:r>
          </w:p>
        </w:tc>
        <w:tc>
          <w:tcPr>
            <w:tcW w:type="dxa" w:w="1584"/>
            <w:shd w:val="clear" w:color="auto" w:fill="F4F6FA"/>
          </w:tcPr>
          <w:p>
            <w:pPr>
              <w:spacing w:after="0" w:line="240" w:lineRule="auto"/>
            </w:pPr>
            <w:r/>
            <w:r>
              <w:rPr>
                <w:b/>
                <w:sz w:val="16"/>
              </w:rPr>
              <w:t>5</w:t>
            </w:r>
          </w:p>
        </w:tc>
        <w:tc>
          <w:tcPr>
            <w:tcW w:type="dxa" w:w="2016"/>
            <w:shd w:val="clear" w:color="auto" w:fill="F4F6FA"/>
          </w:tcPr>
          <w:p>
            <w:pPr>
              <w:spacing w:after="0" w:line="240" w:lineRule="auto"/>
            </w:pPr>
            <w:r/>
            <w:r>
              <w:rPr>
                <w:b/>
                <w:sz w:val="16"/>
              </w:rPr>
              <w:t>3</w:t>
            </w:r>
          </w:p>
        </w:tc>
        <w:tc>
          <w:tcPr>
            <w:tcW w:type="dxa" w:w="1584"/>
            <w:shd w:val="clear" w:color="auto" w:fill="F4F6FA"/>
          </w:tcPr>
          <w:p>
            <w:pPr>
              <w:spacing w:after="0" w:line="240" w:lineRule="auto"/>
            </w:pPr>
            <w:r/>
            <w:r>
              <w:rPr>
                <w:b/>
                <w:sz w:val="16"/>
              </w:rPr>
              <w:t>4</w:t>
            </w:r>
          </w:p>
        </w:tc>
        <w:tc>
          <w:tcPr>
            <w:tcW w:type="dxa" w:w="1152"/>
            <w:shd w:val="clear" w:color="auto" w:fill="F4F6FA"/>
          </w:tcPr>
          <w:p>
            <w:pPr>
              <w:spacing w:after="0" w:line="240" w:lineRule="auto"/>
            </w:pPr>
            <w:r/>
            <w:r>
              <w:rPr>
                <w:b/>
                <w:sz w:val="16"/>
              </w:rPr>
              <w:t>17</w:t>
            </w:r>
          </w:p>
        </w:tc>
      </w:tr>
      <w:tr>
        <w:trPr>
          <w:cantSplit w:val="true"/>
        </w:trPr>
        <w:tc>
          <w:tcPr>
            <w:tcW w:type="dxa" w:w="4896"/>
          </w:tcPr>
          <w:p>
            <w:pPr>
              <w:spacing w:after="0" w:line="240" w:lineRule="auto"/>
            </w:pPr>
            <w:r/>
            <w:r>
              <w:rPr>
                <w:sz w:val="16"/>
              </w:rPr>
              <w:t xml:space="preserve">    Abdominal pain</w:t>
            </w:r>
          </w:p>
        </w:tc>
        <w:tc>
          <w:tcPr>
            <w:tcW w:type="dxa" w:w="1584"/>
          </w:tcPr>
          <w:p>
            <w:pPr>
              <w:spacing w:after="0" w:line="240" w:lineRule="auto"/>
            </w:pPr>
            <w:r/>
            <w:r>
              <w:rPr>
                <w:sz w:val="16"/>
              </w:rPr>
              <w:t>2</w:t>
            </w:r>
          </w:p>
        </w:tc>
        <w:tc>
          <w:tcPr>
            <w:tcW w:type="dxa" w:w="1584"/>
          </w:tcPr>
          <w:p>
            <w:pPr>
              <w:spacing w:after="0" w:line="240" w:lineRule="auto"/>
            </w:pPr>
            <w:r/>
            <w:r>
              <w:rPr>
                <w:sz w:val="16"/>
              </w:rPr>
              <w:t>2</w:t>
            </w:r>
          </w:p>
        </w:tc>
        <w:tc>
          <w:tcPr>
            <w:tcW w:type="dxa" w:w="2016"/>
          </w:tcPr>
          <w:p>
            <w:pPr>
              <w:spacing w:after="0" w:line="240" w:lineRule="auto"/>
            </w:pPr>
            <w:r/>
            <w:r>
              <w:rPr>
                <w:sz w:val="16"/>
              </w:rPr>
              <w:t>1</w:t>
            </w:r>
          </w:p>
        </w:tc>
        <w:tc>
          <w:tcPr>
            <w:tcW w:type="dxa" w:w="1584"/>
          </w:tcPr>
          <w:p>
            <w:pPr>
              <w:spacing w:after="0" w:line="240" w:lineRule="auto"/>
            </w:pPr>
            <w:r/>
            <w:r>
              <w:rPr>
                <w:sz w:val="16"/>
              </w:rPr>
              <w:t>2</w:t>
            </w:r>
          </w:p>
        </w:tc>
        <w:tc>
          <w:tcPr>
            <w:tcW w:type="dxa" w:w="1152"/>
          </w:tcPr>
          <w:p>
            <w:pPr>
              <w:spacing w:after="0" w:line="240" w:lineRule="auto"/>
            </w:pPr>
            <w:r/>
            <w:r>
              <w:rPr>
                <w:sz w:val="16"/>
              </w:rPr>
              <w:t>7</w:t>
            </w:r>
          </w:p>
        </w:tc>
      </w:tr>
      <w:tr>
        <w:trPr>
          <w:cantSplit w:val="true"/>
        </w:trPr>
        <w:tc>
          <w:tcPr>
            <w:tcW w:type="dxa" w:w="4896"/>
          </w:tcPr>
          <w:p>
            <w:pPr>
              <w:spacing w:after="0" w:line="240" w:lineRule="auto"/>
            </w:pPr>
            <w:r/>
            <w:r>
              <w:rPr>
                <w:sz w:val="16"/>
              </w:rPr>
              <w:t xml:space="preserve">    Pancreatitis acute</w:t>
            </w:r>
          </w:p>
        </w:tc>
        <w:tc>
          <w:tcPr>
            <w:tcW w:type="dxa" w:w="1584"/>
          </w:tcPr>
          <w:p>
            <w:pPr>
              <w:spacing w:after="0" w:line="240" w:lineRule="auto"/>
            </w:pPr>
            <w:r/>
            <w:r>
              <w:rPr>
                <w:sz w:val="16"/>
              </w:rPr>
              <w:t>1</w:t>
            </w:r>
          </w:p>
        </w:tc>
        <w:tc>
          <w:tcPr>
            <w:tcW w:type="dxa" w:w="1584"/>
          </w:tcPr>
          <w:p>
            <w:pPr>
              <w:spacing w:after="0" w:line="240" w:lineRule="auto"/>
            </w:pPr>
            <w:r/>
            <w:r>
              <w:rPr>
                <w:sz w:val="16"/>
              </w:rPr>
              <w:t>1</w:t>
            </w:r>
          </w:p>
        </w:tc>
        <w:tc>
          <w:tcPr>
            <w:tcW w:type="dxa" w:w="2016"/>
          </w:tcPr>
          <w:p>
            <w:pPr>
              <w:spacing w:after="0" w:line="240" w:lineRule="auto"/>
            </w:pPr>
            <w:r/>
            <w:r>
              <w:rPr>
                <w:sz w:val="16"/>
              </w:rPr>
              <w:t>0</w:t>
            </w:r>
          </w:p>
        </w:tc>
        <w:tc>
          <w:tcPr>
            <w:tcW w:type="dxa" w:w="1584"/>
          </w:tcPr>
          <w:p>
            <w:pPr>
              <w:spacing w:after="0" w:line="240" w:lineRule="auto"/>
            </w:pPr>
            <w:r/>
            <w:r>
              <w:rPr>
                <w:sz w:val="16"/>
              </w:rPr>
              <w:t>1</w:t>
            </w:r>
          </w:p>
        </w:tc>
        <w:tc>
          <w:tcPr>
            <w:tcW w:type="dxa" w:w="1152"/>
          </w:tcPr>
          <w:p>
            <w:pPr>
              <w:spacing w:after="0" w:line="240" w:lineRule="auto"/>
            </w:pPr>
            <w:r/>
            <w:r>
              <w:rPr>
                <w:sz w:val="16"/>
              </w:rPr>
              <w:t>3</w:t>
            </w:r>
          </w:p>
        </w:tc>
      </w:tr>
      <w:tr>
        <w:trPr>
          <w:cantSplit w:val="true"/>
        </w:trPr>
        <w:tc>
          <w:tcPr>
            <w:tcW w:type="dxa" w:w="4896"/>
          </w:tcPr>
          <w:p>
            <w:pPr>
              <w:spacing w:after="0" w:line="240" w:lineRule="auto"/>
            </w:pPr>
            <w:r/>
            <w:r>
              <w:rPr>
                <w:sz w:val="16"/>
              </w:rPr>
              <w:t xml:space="preserve">    Small intestinal obstruction</w:t>
            </w:r>
          </w:p>
        </w:tc>
        <w:tc>
          <w:tcPr>
            <w:tcW w:type="dxa" w:w="1584"/>
          </w:tcPr>
          <w:p>
            <w:pPr>
              <w:spacing w:after="0" w:line="240" w:lineRule="auto"/>
            </w:pPr>
            <w:r/>
            <w:r>
              <w:rPr>
                <w:sz w:val="16"/>
              </w:rPr>
              <w:t>1</w:t>
            </w:r>
          </w:p>
        </w:tc>
        <w:tc>
          <w:tcPr>
            <w:tcW w:type="dxa" w:w="1584"/>
          </w:tcPr>
          <w:p>
            <w:pPr>
              <w:spacing w:after="0" w:line="240" w:lineRule="auto"/>
            </w:pPr>
            <w:r/>
            <w:r>
              <w:rPr>
                <w:sz w:val="16"/>
              </w:rPr>
              <w:t>1</w:t>
            </w:r>
          </w:p>
        </w:tc>
        <w:tc>
          <w:tcPr>
            <w:tcW w:type="dxa" w:w="2016"/>
          </w:tcPr>
          <w:p>
            <w:pPr>
              <w:spacing w:after="0" w:line="240" w:lineRule="auto"/>
            </w:pPr>
            <w:r/>
            <w:r>
              <w:rPr>
                <w:sz w:val="16"/>
              </w:rPr>
              <w:t>1</w:t>
            </w:r>
          </w:p>
        </w:tc>
        <w:tc>
          <w:tcPr>
            <w:tcW w:type="dxa" w:w="1584"/>
          </w:tcPr>
          <w:p>
            <w:pPr>
              <w:spacing w:after="0" w:line="240" w:lineRule="auto"/>
            </w:pPr>
            <w:r/>
            <w:r>
              <w:rPr>
                <w:sz w:val="16"/>
              </w:rPr>
              <w:t>0</w:t>
            </w:r>
          </w:p>
        </w:tc>
        <w:tc>
          <w:tcPr>
            <w:tcW w:type="dxa" w:w="1152"/>
          </w:tcPr>
          <w:p>
            <w:pPr>
              <w:spacing w:after="0" w:line="240" w:lineRule="auto"/>
            </w:pPr>
            <w:r/>
            <w:r>
              <w:rPr>
                <w:sz w:val="16"/>
              </w:rPr>
              <w:t>3</w:t>
            </w:r>
          </w:p>
        </w:tc>
      </w:tr>
      <w:tr>
        <w:trPr>
          <w:cantSplit w:val="true"/>
        </w:trPr>
        <w:tc>
          <w:tcPr>
            <w:tcW w:type="dxa" w:w="4896"/>
          </w:tcPr>
          <w:p>
            <w:pPr>
              <w:spacing w:after="0" w:line="240" w:lineRule="auto"/>
            </w:pPr>
            <w:r/>
            <w:r>
              <w:rPr>
                <w:sz w:val="16"/>
              </w:rPr>
              <w:t xml:space="preserve">    Vomiting</w:t>
            </w:r>
          </w:p>
        </w:tc>
        <w:tc>
          <w:tcPr>
            <w:tcW w:type="dxa" w:w="1584"/>
          </w:tcPr>
          <w:p>
            <w:pPr>
              <w:spacing w:after="0" w:line="240" w:lineRule="auto"/>
            </w:pPr>
            <w:r/>
            <w:r>
              <w:rPr>
                <w:sz w:val="16"/>
              </w:rPr>
              <w:t>1</w:t>
            </w:r>
          </w:p>
        </w:tc>
        <w:tc>
          <w:tcPr>
            <w:tcW w:type="dxa" w:w="1584"/>
          </w:tcPr>
          <w:p>
            <w:pPr>
              <w:spacing w:after="0" w:line="240" w:lineRule="auto"/>
            </w:pPr>
            <w:r/>
            <w:r>
              <w:rPr>
                <w:sz w:val="16"/>
              </w:rPr>
              <w:t>1</w:t>
            </w:r>
          </w:p>
        </w:tc>
        <w:tc>
          <w:tcPr>
            <w:tcW w:type="dxa" w:w="2016"/>
          </w:tcPr>
          <w:p>
            <w:pPr>
              <w:spacing w:after="0" w:line="240" w:lineRule="auto"/>
            </w:pPr>
            <w:r/>
            <w:r>
              <w:rPr>
                <w:sz w:val="16"/>
              </w:rPr>
              <w:t>1</w:t>
            </w:r>
          </w:p>
        </w:tc>
        <w:tc>
          <w:tcPr>
            <w:tcW w:type="dxa" w:w="1584"/>
          </w:tcPr>
          <w:p>
            <w:pPr>
              <w:spacing w:after="0" w:line="240" w:lineRule="auto"/>
            </w:pPr>
            <w:r/>
            <w:r>
              <w:rPr>
                <w:sz w:val="16"/>
              </w:rPr>
              <w:t>1</w:t>
            </w:r>
          </w:p>
        </w:tc>
        <w:tc>
          <w:tcPr>
            <w:tcW w:type="dxa" w:w="1152"/>
          </w:tcPr>
          <w:p>
            <w:pPr>
              <w:spacing w:after="0" w:line="240" w:lineRule="auto"/>
            </w:pPr>
            <w:r/>
            <w:r>
              <w:rPr>
                <w:sz w:val="16"/>
              </w:rPr>
              <w:t>4</w:t>
            </w:r>
          </w:p>
        </w:tc>
      </w:tr>
      <w:tr>
        <w:trPr>
          <w:cantSplit w:val="true"/>
        </w:trPr>
        <w:tc>
          <w:tcPr>
            <w:tcW w:type="dxa" w:w="4896"/>
            <w:shd w:val="clear" w:color="auto" w:fill="F4F6FA"/>
          </w:tcPr>
          <w:p>
            <w:pPr>
              <w:spacing w:after="0" w:line="240" w:lineRule="auto"/>
            </w:pPr>
            <w:r/>
            <w:r>
              <w:rPr>
                <w:b/>
                <w:sz w:val="16"/>
              </w:rPr>
              <w:t>Hepatobiliary disorders</w:t>
            </w:r>
          </w:p>
        </w:tc>
        <w:tc>
          <w:tcPr>
            <w:tcW w:type="dxa" w:w="1584"/>
            <w:shd w:val="clear" w:color="auto" w:fill="F4F6FA"/>
          </w:tcPr>
          <w:p>
            <w:pPr>
              <w:spacing w:after="0" w:line="240" w:lineRule="auto"/>
            </w:pPr>
            <w:r/>
            <w:r>
              <w:rPr>
                <w:b/>
                <w:sz w:val="16"/>
              </w:rPr>
              <w:t>0</w:t>
            </w:r>
          </w:p>
        </w:tc>
        <w:tc>
          <w:tcPr>
            <w:tcW w:type="dxa" w:w="1584"/>
            <w:shd w:val="clear" w:color="auto" w:fill="F4F6FA"/>
          </w:tcPr>
          <w:p>
            <w:pPr>
              <w:spacing w:after="0" w:line="240" w:lineRule="auto"/>
            </w:pPr>
            <w:r/>
            <w:r>
              <w:rPr>
                <w:b/>
                <w:sz w:val="16"/>
              </w:rPr>
              <w:t>0</w:t>
            </w:r>
          </w:p>
        </w:tc>
        <w:tc>
          <w:tcPr>
            <w:tcW w:type="dxa" w:w="2016"/>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0</w:t>
            </w:r>
          </w:p>
        </w:tc>
        <w:tc>
          <w:tcPr>
            <w:tcW w:type="dxa" w:w="1152"/>
            <w:shd w:val="clear" w:color="auto" w:fill="F4F6FA"/>
          </w:tcPr>
          <w:p>
            <w:pPr>
              <w:spacing w:after="0" w:line="240" w:lineRule="auto"/>
            </w:pPr>
            <w:r/>
            <w:r>
              <w:rPr>
                <w:b/>
                <w:sz w:val="16"/>
              </w:rPr>
              <w:t>1</w:t>
            </w:r>
          </w:p>
        </w:tc>
      </w:tr>
      <w:tr>
        <w:trPr>
          <w:cantSplit w:val="true"/>
        </w:trPr>
        <w:tc>
          <w:tcPr>
            <w:tcW w:type="dxa" w:w="4896"/>
          </w:tcPr>
          <w:p>
            <w:pPr>
              <w:spacing w:after="0" w:line="240" w:lineRule="auto"/>
            </w:pPr>
            <w:r/>
            <w:r>
              <w:rPr>
                <w:sz w:val="16"/>
              </w:rPr>
              <w:t xml:space="preserve">    Cholelithiasis</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1</w:t>
            </w:r>
          </w:p>
        </w:tc>
        <w:tc>
          <w:tcPr>
            <w:tcW w:type="dxa" w:w="1584"/>
          </w:tcPr>
          <w:p>
            <w:pPr>
              <w:spacing w:after="0" w:line="240" w:lineRule="auto"/>
            </w:pPr>
            <w:r/>
            <w:r>
              <w:rPr>
                <w:sz w:val="16"/>
              </w:rPr>
              <w:t>0</w:t>
            </w:r>
          </w:p>
        </w:tc>
        <w:tc>
          <w:tcPr>
            <w:tcW w:type="dxa" w:w="1152"/>
          </w:tcPr>
          <w:p>
            <w:pPr>
              <w:spacing w:after="0" w:line="240" w:lineRule="auto"/>
            </w:pPr>
            <w:r/>
            <w:r>
              <w:rPr>
                <w:sz w:val="16"/>
              </w:rPr>
              <w:t>1</w:t>
            </w:r>
          </w:p>
        </w:tc>
      </w:tr>
      <w:tr>
        <w:trPr>
          <w:cantSplit w:val="true"/>
        </w:trPr>
        <w:tc>
          <w:tcPr>
            <w:tcW w:type="dxa" w:w="4896"/>
            <w:shd w:val="clear" w:color="auto" w:fill="F4F6FA"/>
          </w:tcPr>
          <w:p>
            <w:pPr>
              <w:spacing w:after="0" w:line="240" w:lineRule="auto"/>
            </w:pPr>
            <w:r/>
            <w:r>
              <w:rPr>
                <w:b/>
                <w:sz w:val="16"/>
              </w:rPr>
              <w:t>Musculoskeletal and connective tissue disorders</w:t>
            </w:r>
          </w:p>
        </w:tc>
        <w:tc>
          <w:tcPr>
            <w:tcW w:type="dxa" w:w="1584"/>
            <w:shd w:val="clear" w:color="auto" w:fill="F4F6FA"/>
          </w:tcPr>
          <w:p>
            <w:pPr>
              <w:spacing w:after="0" w:line="240" w:lineRule="auto"/>
            </w:pPr>
            <w:r/>
            <w:r>
              <w:rPr>
                <w:b/>
                <w:sz w:val="16"/>
              </w:rPr>
              <w:t>0</w:t>
            </w:r>
          </w:p>
        </w:tc>
        <w:tc>
          <w:tcPr>
            <w:tcW w:type="dxa" w:w="1584"/>
            <w:shd w:val="clear" w:color="auto" w:fill="F4F6FA"/>
          </w:tcPr>
          <w:p>
            <w:pPr>
              <w:spacing w:after="0" w:line="240" w:lineRule="auto"/>
            </w:pPr>
            <w:r/>
            <w:r>
              <w:rPr>
                <w:b/>
                <w:sz w:val="16"/>
              </w:rPr>
              <w:t>0</w:t>
            </w:r>
          </w:p>
        </w:tc>
        <w:tc>
          <w:tcPr>
            <w:tcW w:type="dxa" w:w="2016"/>
            <w:shd w:val="clear" w:color="auto" w:fill="F4F6FA"/>
          </w:tcPr>
          <w:p>
            <w:pPr>
              <w:spacing w:after="0" w:line="240" w:lineRule="auto"/>
            </w:pPr>
            <w:r/>
            <w:r>
              <w:rPr>
                <w:b/>
                <w:sz w:val="16"/>
              </w:rPr>
              <w:t>0</w:t>
            </w:r>
          </w:p>
        </w:tc>
        <w:tc>
          <w:tcPr>
            <w:tcW w:type="dxa" w:w="1584"/>
            <w:shd w:val="clear" w:color="auto" w:fill="F4F6FA"/>
          </w:tcPr>
          <w:p>
            <w:pPr>
              <w:spacing w:after="0" w:line="240" w:lineRule="auto"/>
            </w:pPr>
            <w:r/>
            <w:r>
              <w:rPr>
                <w:b/>
                <w:sz w:val="16"/>
              </w:rPr>
              <w:t>1</w:t>
            </w:r>
          </w:p>
        </w:tc>
        <w:tc>
          <w:tcPr>
            <w:tcW w:type="dxa" w:w="1152"/>
            <w:shd w:val="clear" w:color="auto" w:fill="F4F6FA"/>
          </w:tcPr>
          <w:p>
            <w:pPr>
              <w:spacing w:after="0" w:line="240" w:lineRule="auto"/>
            </w:pPr>
            <w:r/>
            <w:r>
              <w:rPr>
                <w:b/>
                <w:sz w:val="16"/>
              </w:rPr>
              <w:t>1</w:t>
            </w:r>
          </w:p>
        </w:tc>
      </w:tr>
      <w:tr>
        <w:trPr>
          <w:cantSplit w:val="true"/>
        </w:trPr>
        <w:tc>
          <w:tcPr>
            <w:tcW w:type="dxa" w:w="4896"/>
          </w:tcPr>
          <w:p>
            <w:pPr>
              <w:spacing w:after="0" w:line="240" w:lineRule="auto"/>
            </w:pPr>
            <w:r/>
            <w:r>
              <w:rPr>
                <w:sz w:val="16"/>
              </w:rPr>
              <w:t xml:space="preserve">    Intervertebral disc protrusion</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0</w:t>
            </w:r>
          </w:p>
        </w:tc>
        <w:tc>
          <w:tcPr>
            <w:tcW w:type="dxa" w:w="1584"/>
          </w:tcPr>
          <w:p>
            <w:pPr>
              <w:spacing w:after="0" w:line="240" w:lineRule="auto"/>
            </w:pPr>
            <w:r/>
            <w:r>
              <w:rPr>
                <w:sz w:val="16"/>
              </w:rPr>
              <w:t>1</w:t>
            </w:r>
          </w:p>
        </w:tc>
        <w:tc>
          <w:tcPr>
            <w:tcW w:type="dxa" w:w="1152"/>
          </w:tcPr>
          <w:p>
            <w:pPr>
              <w:spacing w:after="0" w:line="240" w:lineRule="auto"/>
            </w:pPr>
            <w:r/>
            <w:r>
              <w:rPr>
                <w:sz w:val="16"/>
              </w:rPr>
              <w:t>1</w:t>
            </w:r>
          </w:p>
        </w:tc>
      </w:tr>
      <w:tr>
        <w:trPr>
          <w:cantSplit w:val="true"/>
        </w:trPr>
        <w:tc>
          <w:tcPr>
            <w:tcW w:type="dxa" w:w="4896"/>
            <w:shd w:val="clear" w:color="auto" w:fill="F4F6FA"/>
          </w:tcPr>
          <w:p>
            <w:pPr>
              <w:spacing w:after="0" w:line="240" w:lineRule="auto"/>
            </w:pPr>
            <w:r/>
            <w:r>
              <w:rPr>
                <w:b/>
                <w:sz w:val="16"/>
              </w:rPr>
              <w:t>Injury, poisoning and procedural complications</w:t>
            </w:r>
          </w:p>
        </w:tc>
        <w:tc>
          <w:tcPr>
            <w:tcW w:type="dxa" w:w="1584"/>
            <w:shd w:val="clear" w:color="auto" w:fill="F4F6FA"/>
          </w:tcPr>
          <w:p>
            <w:pPr>
              <w:spacing w:after="0" w:line="240" w:lineRule="auto"/>
            </w:pPr>
            <w:r/>
            <w:r>
              <w:rPr>
                <w:b/>
                <w:sz w:val="16"/>
              </w:rPr>
              <w:t>0</w:t>
            </w:r>
          </w:p>
        </w:tc>
        <w:tc>
          <w:tcPr>
            <w:tcW w:type="dxa" w:w="1584"/>
            <w:shd w:val="clear" w:color="auto" w:fill="F4F6FA"/>
          </w:tcPr>
          <w:p>
            <w:pPr>
              <w:spacing w:after="0" w:line="240" w:lineRule="auto"/>
            </w:pPr>
            <w:r/>
            <w:r>
              <w:rPr>
                <w:b/>
                <w:sz w:val="16"/>
              </w:rPr>
              <w:t>1</w:t>
            </w:r>
          </w:p>
        </w:tc>
        <w:tc>
          <w:tcPr>
            <w:tcW w:type="dxa" w:w="2016"/>
            <w:shd w:val="clear" w:color="auto" w:fill="F4F6FA"/>
          </w:tcPr>
          <w:p>
            <w:pPr>
              <w:spacing w:after="0" w:line="240" w:lineRule="auto"/>
            </w:pPr>
            <w:r/>
            <w:r>
              <w:rPr>
                <w:b/>
                <w:sz w:val="16"/>
              </w:rPr>
              <w:t>1</w:t>
            </w:r>
          </w:p>
        </w:tc>
        <w:tc>
          <w:tcPr>
            <w:tcW w:type="dxa" w:w="1584"/>
            <w:shd w:val="clear" w:color="auto" w:fill="F4F6FA"/>
          </w:tcPr>
          <w:p>
            <w:pPr>
              <w:spacing w:after="0" w:line="240" w:lineRule="auto"/>
            </w:pPr>
            <w:r/>
            <w:r>
              <w:rPr>
                <w:b/>
                <w:sz w:val="16"/>
              </w:rPr>
              <w:t>1</w:t>
            </w:r>
          </w:p>
        </w:tc>
        <w:tc>
          <w:tcPr>
            <w:tcW w:type="dxa" w:w="1152"/>
            <w:shd w:val="clear" w:color="auto" w:fill="F4F6FA"/>
          </w:tcPr>
          <w:p>
            <w:pPr>
              <w:spacing w:after="0" w:line="240" w:lineRule="auto"/>
            </w:pPr>
            <w:r/>
            <w:r>
              <w:rPr>
                <w:b/>
                <w:sz w:val="16"/>
              </w:rPr>
              <w:t>3</w:t>
            </w:r>
          </w:p>
        </w:tc>
      </w:tr>
      <w:tr>
        <w:trPr>
          <w:cantSplit w:val="true"/>
        </w:trPr>
        <w:tc>
          <w:tcPr>
            <w:tcW w:type="dxa" w:w="4896"/>
          </w:tcPr>
          <w:p>
            <w:pPr>
              <w:spacing w:after="0" w:line="240" w:lineRule="auto"/>
            </w:pPr>
            <w:r/>
            <w:r>
              <w:rPr>
                <w:sz w:val="16"/>
              </w:rPr>
              <w:t xml:space="preserve">    Ankle fracture</w:t>
            </w:r>
          </w:p>
        </w:tc>
        <w:tc>
          <w:tcPr>
            <w:tcW w:type="dxa" w:w="1584"/>
          </w:tcPr>
          <w:p>
            <w:pPr>
              <w:spacing w:after="0" w:line="240" w:lineRule="auto"/>
            </w:pPr>
            <w:r/>
            <w:r>
              <w:rPr>
                <w:sz w:val="16"/>
              </w:rPr>
              <w:t>0</w:t>
            </w:r>
          </w:p>
        </w:tc>
        <w:tc>
          <w:tcPr>
            <w:tcW w:type="dxa" w:w="1584"/>
          </w:tcPr>
          <w:p>
            <w:pPr>
              <w:spacing w:after="0" w:line="240" w:lineRule="auto"/>
            </w:pPr>
            <w:r/>
            <w:r>
              <w:rPr>
                <w:sz w:val="16"/>
              </w:rPr>
              <w:t>1</w:t>
            </w:r>
          </w:p>
        </w:tc>
        <w:tc>
          <w:tcPr>
            <w:tcW w:type="dxa" w:w="2016"/>
          </w:tcPr>
          <w:p>
            <w:pPr>
              <w:spacing w:after="0" w:line="240" w:lineRule="auto"/>
            </w:pPr>
            <w:r/>
            <w:r>
              <w:rPr>
                <w:sz w:val="16"/>
              </w:rPr>
              <w:t>0</w:t>
            </w:r>
          </w:p>
        </w:tc>
        <w:tc>
          <w:tcPr>
            <w:tcW w:type="dxa" w:w="1584"/>
          </w:tcPr>
          <w:p>
            <w:pPr>
              <w:spacing w:after="0" w:line="240" w:lineRule="auto"/>
            </w:pPr>
            <w:r/>
            <w:r>
              <w:rPr>
                <w:sz w:val="16"/>
              </w:rPr>
              <w:t>0</w:t>
            </w:r>
          </w:p>
        </w:tc>
        <w:tc>
          <w:tcPr>
            <w:tcW w:type="dxa" w:w="1152"/>
          </w:tcPr>
          <w:p>
            <w:pPr>
              <w:spacing w:after="0" w:line="240" w:lineRule="auto"/>
            </w:pPr>
            <w:r/>
            <w:r>
              <w:rPr>
                <w:sz w:val="16"/>
              </w:rPr>
              <w:t>1</w:t>
            </w:r>
          </w:p>
        </w:tc>
      </w:tr>
      <w:tr>
        <w:trPr>
          <w:cantSplit w:val="true"/>
        </w:trPr>
        <w:tc>
          <w:tcPr>
            <w:tcW w:type="dxa" w:w="4896"/>
          </w:tcPr>
          <w:p>
            <w:pPr>
              <w:spacing w:after="0" w:line="240" w:lineRule="auto"/>
            </w:pPr>
            <w:r/>
            <w:r>
              <w:rPr>
                <w:sz w:val="16"/>
              </w:rPr>
              <w:t xml:space="preserve">    Femur fracture</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0</w:t>
            </w:r>
          </w:p>
        </w:tc>
        <w:tc>
          <w:tcPr>
            <w:tcW w:type="dxa" w:w="1584"/>
          </w:tcPr>
          <w:p>
            <w:pPr>
              <w:spacing w:after="0" w:line="240" w:lineRule="auto"/>
            </w:pPr>
            <w:r/>
            <w:r>
              <w:rPr>
                <w:sz w:val="16"/>
              </w:rPr>
              <w:t>1</w:t>
            </w:r>
          </w:p>
        </w:tc>
        <w:tc>
          <w:tcPr>
            <w:tcW w:type="dxa" w:w="1152"/>
          </w:tcPr>
          <w:p>
            <w:pPr>
              <w:spacing w:after="0" w:line="240" w:lineRule="auto"/>
            </w:pPr>
            <w:r/>
            <w:r>
              <w:rPr>
                <w:sz w:val="16"/>
              </w:rPr>
              <w:t>1</w:t>
            </w:r>
          </w:p>
        </w:tc>
      </w:tr>
      <w:tr>
        <w:trPr>
          <w:cantSplit w:val="true"/>
        </w:trPr>
        <w:tc>
          <w:tcPr>
            <w:tcW w:type="dxa" w:w="4896"/>
          </w:tcPr>
          <w:p>
            <w:pPr>
              <w:spacing w:after="0" w:line="240" w:lineRule="auto"/>
            </w:pPr>
            <w:r/>
            <w:r>
              <w:rPr>
                <w:sz w:val="16"/>
              </w:rPr>
              <w:t xml:space="preserve">    Road traffic accident</w:t>
            </w:r>
          </w:p>
        </w:tc>
        <w:tc>
          <w:tcPr>
            <w:tcW w:type="dxa" w:w="1584"/>
          </w:tcPr>
          <w:p>
            <w:pPr>
              <w:spacing w:after="0" w:line="240" w:lineRule="auto"/>
            </w:pPr>
            <w:r/>
            <w:r>
              <w:rPr>
                <w:sz w:val="16"/>
              </w:rPr>
              <w:t>0</w:t>
            </w:r>
          </w:p>
        </w:tc>
        <w:tc>
          <w:tcPr>
            <w:tcW w:type="dxa" w:w="1584"/>
          </w:tcPr>
          <w:p>
            <w:pPr>
              <w:spacing w:after="0" w:line="240" w:lineRule="auto"/>
            </w:pPr>
            <w:r/>
            <w:r>
              <w:rPr>
                <w:sz w:val="16"/>
              </w:rPr>
              <w:t>0</w:t>
            </w:r>
          </w:p>
        </w:tc>
        <w:tc>
          <w:tcPr>
            <w:tcW w:type="dxa" w:w="2016"/>
          </w:tcPr>
          <w:p>
            <w:pPr>
              <w:spacing w:after="0" w:line="240" w:lineRule="auto"/>
            </w:pPr>
            <w:r/>
            <w:r>
              <w:rPr>
                <w:sz w:val="16"/>
              </w:rPr>
              <w:t>1</w:t>
            </w:r>
          </w:p>
        </w:tc>
        <w:tc>
          <w:tcPr>
            <w:tcW w:type="dxa" w:w="1584"/>
          </w:tcPr>
          <w:p>
            <w:pPr>
              <w:spacing w:after="0" w:line="240" w:lineRule="auto"/>
            </w:pPr>
            <w:r/>
            <w:r>
              <w:rPr>
                <w:sz w:val="16"/>
              </w:rPr>
              <w:t>0</w:t>
            </w:r>
          </w:p>
        </w:tc>
        <w:tc>
          <w:tcPr>
            <w:tcW w:type="dxa" w:w="1152"/>
          </w:tcPr>
          <w:p>
            <w:pPr>
              <w:spacing w:after="0" w:line="240" w:lineRule="auto"/>
            </w:pPr>
            <w:r/>
            <w:r>
              <w:rPr>
                <w:sz w:val="16"/>
              </w:rPr>
              <w:t>1</w:t>
            </w:r>
          </w:p>
        </w:tc>
      </w:tr>
      <w:tr>
        <w:trPr>
          <w:cantSplit w:val="true"/>
        </w:trPr>
        <w:tc>
          <w:tcPr>
            <w:tcW w:type="dxa" w:w="4896"/>
          </w:tcPr>
          <w:p>
            <w:pPr>
              <w:spacing w:after="0" w:line="240" w:lineRule="auto"/>
            </w:pPr>
            <w:r/>
            <w:r>
              <w:rPr>
                <w:b/>
                <w:sz w:val="16"/>
              </w:rPr>
              <w:t>All serious adverse events</w:t>
            </w:r>
          </w:p>
        </w:tc>
        <w:tc>
          <w:tcPr>
            <w:tcW w:type="dxa" w:w="1584"/>
          </w:tcPr>
          <w:p>
            <w:pPr>
              <w:spacing w:after="0" w:line="240" w:lineRule="auto"/>
            </w:pPr>
            <w:r/>
            <w:r>
              <w:rPr>
                <w:b/>
                <w:sz w:val="16"/>
              </w:rPr>
              <w:t>16</w:t>
            </w:r>
          </w:p>
        </w:tc>
        <w:tc>
          <w:tcPr>
            <w:tcW w:type="dxa" w:w="1584"/>
          </w:tcPr>
          <w:p>
            <w:pPr>
              <w:spacing w:after="0" w:line="240" w:lineRule="auto"/>
            </w:pPr>
            <w:r/>
            <w:r>
              <w:rPr>
                <w:b/>
                <w:sz w:val="16"/>
              </w:rPr>
              <w:t>12</w:t>
            </w:r>
          </w:p>
        </w:tc>
        <w:tc>
          <w:tcPr>
            <w:tcW w:type="dxa" w:w="2016"/>
          </w:tcPr>
          <w:p>
            <w:pPr>
              <w:spacing w:after="0" w:line="240" w:lineRule="auto"/>
            </w:pPr>
            <w:r/>
            <w:r>
              <w:rPr>
                <w:b/>
                <w:sz w:val="16"/>
              </w:rPr>
              <w:t>25</w:t>
            </w:r>
          </w:p>
        </w:tc>
        <w:tc>
          <w:tcPr>
            <w:tcW w:type="dxa" w:w="1584"/>
          </w:tcPr>
          <w:p>
            <w:pPr>
              <w:spacing w:after="0" w:line="240" w:lineRule="auto"/>
            </w:pPr>
            <w:r/>
            <w:r>
              <w:rPr>
                <w:b/>
                <w:sz w:val="16"/>
              </w:rPr>
              <w:t>16</w:t>
            </w:r>
          </w:p>
        </w:tc>
        <w:tc>
          <w:tcPr>
            <w:tcW w:type="dxa" w:w="1152"/>
          </w:tcPr>
          <w:p>
            <w:pPr>
              <w:spacing w:after="0" w:line="240" w:lineRule="auto"/>
            </w:pPr>
            <w:r/>
            <w:r>
              <w:rPr>
                <w:b/>
                <w:sz w:val="16"/>
              </w:rPr>
              <w:t>69</w:t>
            </w:r>
          </w:p>
        </w:tc>
      </w:tr>
      <w:tr>
        <w:trPr>
          <w:cantSplit w:val="true"/>
        </w:trPr>
        <w:tc>
          <w:tcPr>
            <w:tcW w:type="dxa" w:w="4896"/>
          </w:tcPr>
          <w:p>
            <w:pPr>
              <w:spacing w:after="0" w:line="240" w:lineRule="auto"/>
            </w:pPr>
            <w:r/>
            <w:r>
              <w:rPr>
                <w:sz w:val="16"/>
              </w:rPr>
              <w:t>Subjects exposed (subject-years)</w:t>
            </w:r>
          </w:p>
        </w:tc>
        <w:tc>
          <w:tcPr>
            <w:tcW w:type="dxa" w:w="1584"/>
          </w:tcPr>
          <w:p>
            <w:pPr>
              <w:spacing w:after="0" w:line="240" w:lineRule="auto"/>
            </w:pPr>
            <w:r/>
            <w:r>
              <w:rPr>
                <w:sz w:val="16"/>
              </w:rPr>
              <w:t>180 (194)</w:t>
            </w:r>
          </w:p>
        </w:tc>
        <w:tc>
          <w:tcPr>
            <w:tcW w:type="dxa" w:w="1584"/>
          </w:tcPr>
          <w:p>
            <w:pPr>
              <w:spacing w:after="0" w:line="240" w:lineRule="auto"/>
            </w:pPr>
            <w:r/>
            <w:r>
              <w:rPr>
                <w:sz w:val="16"/>
              </w:rPr>
              <w:t>90 (104)</w:t>
            </w:r>
          </w:p>
        </w:tc>
        <w:tc>
          <w:tcPr>
            <w:tcW w:type="dxa" w:w="2016"/>
          </w:tcPr>
          <w:p>
            <w:pPr>
              <w:spacing w:after="0" w:line="240" w:lineRule="auto"/>
            </w:pPr>
            <w:r/>
            <w:r>
              <w:rPr>
                <w:sz w:val="16"/>
              </w:rPr>
              <w:t>300 randomized (about 380)</w:t>
            </w:r>
          </w:p>
        </w:tc>
        <w:tc>
          <w:tcPr>
            <w:tcW w:type="dxa" w:w="1584"/>
          </w:tcPr>
          <w:p>
            <w:pPr>
              <w:spacing w:after="0" w:line="240" w:lineRule="auto"/>
            </w:pPr>
            <w:r/>
            <w:r>
              <w:rPr>
                <w:sz w:val="16"/>
              </w:rPr>
              <w:t>142 (about 290)</w:t>
            </w:r>
          </w:p>
        </w:tc>
        <w:tc>
          <w:tcPr>
            <w:tcW w:type="dxa" w:w="1152"/>
          </w:tcPr>
          <w:p>
            <w:pPr>
              <w:spacing w:after="0" w:line="240" w:lineRule="auto"/>
            </w:pPr>
            <w:r/>
            <w:r>
              <w:rPr>
                <w:sz w:val="16"/>
              </w:rPr>
              <w:t>—</w:t>
            </w:r>
          </w:p>
        </w:tc>
      </w:tr>
    </w:tbl>
    <w:p>
      <w:pPr>
        <w:spacing w:after="40"/>
      </w:pPr>
    </w:p>
    <w:p>
      <w:pPr>
        <w:spacing w:after="40"/>
      </w:pPr>
      <w:r>
        <w:rPr>
          <w:i/>
          <w:sz w:val="16"/>
        </w:rPr>
        <w:t>Counts are events; only the terms that made each case serious are tabulated. XB-301 remains blinded; its column includes the two cases of sepsis unblinded for expedited reporting (both XB-7; Appendix 5). Events of worsening disease activity defined as efficacy endpoints in the XB-301 protocol are excluded and reviewed by the DMC. XB-302 subjects are counted in their parent trials for subject counts; their subject-years in XB-302 are shown separately. There is no active comparator in the program. Source: safety database extract run 3 September 2026; MedDRA version 29.0.</w:t>
      </w:r>
    </w:p>
    <w:p>
      <w:pPr>
        <w:keepNext/>
        <w:spacing w:before="120" w:after="60"/>
      </w:pPr>
      <w:r>
        <w:rPr>
          <w:b/>
          <w:color w:val="1F3864"/>
          <w:sz w:val="19"/>
        </w:rPr>
        <w:t>Table A6-2. Pooled presentation: serious adverse events since the DIBD by System Organ Class</w:t>
      </w:r>
    </w:p>
    <w:tbl>
      <w:tblPr>
        <w:tblStyle w:val="TableGrid"/>
        <w:tblW w:type="dxa" w:w="12240"/>
        <w:jc w:val="center"/>
        <w:tblLayout w:type="fixed"/>
        <w:tblCellMar>
          <w:top w:w="30" w:type="dxa"/>
          <w:left w:w="70" w:type="dxa"/>
          <w:bottom w:w="30" w:type="dxa"/>
          <w:right w:w="70" w:type="dxa"/>
        </w:tblCellMar>
        <w:tblLook w:firstColumn="1" w:firstRow="1" w:lastColumn="0" w:lastRow="0" w:noHBand="0" w:noVBand="1" w:val="04A0"/>
      </w:tblPr>
      <w:tblGrid>
        <w:gridCol w:w="4896"/>
        <w:gridCol w:w="2304"/>
        <w:gridCol w:w="1872"/>
        <w:gridCol w:w="1872"/>
        <w:gridCol w:w="1296"/>
      </w:tblGrid>
      <w:tr>
        <w:trPr>
          <w:cantSplit w:val="true"/>
          <w:tblHeader w:val="true"/>
        </w:trPr>
        <w:tc>
          <w:tcPr>
            <w:tcW w:type="dxa" w:w="4896"/>
            <w:shd w:val="clear" w:color="auto" w:fill="E8EDF4"/>
          </w:tcPr>
          <w:p>
            <w:pPr>
              <w:spacing w:after="0" w:line="240" w:lineRule="auto"/>
            </w:pPr>
            <w:r/>
            <w:r>
              <w:rPr>
                <w:b/>
                <w:sz w:val="17"/>
              </w:rPr>
              <w:t>System Organ Class</w:t>
            </w:r>
          </w:p>
        </w:tc>
        <w:tc>
          <w:tcPr>
            <w:tcW w:type="dxa" w:w="2304"/>
            <w:shd w:val="clear" w:color="auto" w:fill="E8EDF4"/>
          </w:tcPr>
          <w:p>
            <w:pPr>
              <w:spacing w:after="0" w:line="240" w:lineRule="auto"/>
            </w:pPr>
            <w:r/>
            <w:r>
              <w:rPr>
                <w:b/>
                <w:sz w:val="17"/>
              </w:rPr>
              <w:t>XB-7 (XB-201 and XB-302)</w:t>
            </w:r>
          </w:p>
        </w:tc>
        <w:tc>
          <w:tcPr>
            <w:tcW w:type="dxa" w:w="1872"/>
            <w:shd w:val="clear" w:color="auto" w:fill="E8EDF4"/>
          </w:tcPr>
          <w:p>
            <w:pPr>
              <w:spacing w:after="0" w:line="240" w:lineRule="auto"/>
            </w:pPr>
            <w:r/>
            <w:r>
              <w:rPr>
                <w:b/>
                <w:sz w:val="17"/>
              </w:rPr>
              <w:t>Placebo (XB-201)</w:t>
            </w:r>
          </w:p>
        </w:tc>
        <w:tc>
          <w:tcPr>
            <w:tcW w:type="dxa" w:w="1872"/>
            <w:shd w:val="clear" w:color="auto" w:fill="E8EDF4"/>
          </w:tcPr>
          <w:p>
            <w:pPr>
              <w:spacing w:after="0" w:line="240" w:lineRule="auto"/>
            </w:pPr>
            <w:r/>
            <w:r>
              <w:rPr>
                <w:b/>
                <w:sz w:val="17"/>
              </w:rPr>
              <w:t>Blinded (XB-301)</w:t>
            </w:r>
          </w:p>
        </w:tc>
        <w:tc>
          <w:tcPr>
            <w:tcW w:type="dxa" w:w="1296"/>
            <w:shd w:val="clear" w:color="auto" w:fill="E8EDF4"/>
          </w:tcPr>
          <w:p>
            <w:pPr>
              <w:spacing w:after="0" w:line="240" w:lineRule="auto"/>
            </w:pPr>
            <w:r/>
            <w:r>
              <w:rPr>
                <w:b/>
                <w:sz w:val="17"/>
              </w:rPr>
              <w:t>Total</w:t>
            </w:r>
          </w:p>
        </w:tc>
      </w:tr>
      <w:tr>
        <w:trPr>
          <w:cantSplit w:val="true"/>
        </w:trPr>
        <w:tc>
          <w:tcPr>
            <w:tcW w:type="dxa" w:w="4896"/>
          </w:tcPr>
          <w:p>
            <w:pPr>
              <w:spacing w:after="0" w:line="240" w:lineRule="auto"/>
            </w:pPr>
            <w:r/>
            <w:r>
              <w:rPr>
                <w:sz w:val="17"/>
              </w:rPr>
              <w:t>Infections and infestations</w:t>
            </w:r>
          </w:p>
        </w:tc>
        <w:tc>
          <w:tcPr>
            <w:tcW w:type="dxa" w:w="2304"/>
          </w:tcPr>
          <w:p>
            <w:pPr>
              <w:spacing w:after="0" w:line="240" w:lineRule="auto"/>
            </w:pPr>
            <w:r/>
            <w:r>
              <w:rPr>
                <w:sz w:val="17"/>
              </w:rPr>
              <w:t>13</w:t>
            </w:r>
          </w:p>
        </w:tc>
        <w:tc>
          <w:tcPr>
            <w:tcW w:type="dxa" w:w="1872"/>
          </w:tcPr>
          <w:p>
            <w:pPr>
              <w:spacing w:after="0" w:line="240" w:lineRule="auto"/>
            </w:pPr>
            <w:r/>
            <w:r>
              <w:rPr>
                <w:sz w:val="17"/>
              </w:rPr>
              <w:t>2</w:t>
            </w:r>
          </w:p>
        </w:tc>
        <w:tc>
          <w:tcPr>
            <w:tcW w:type="dxa" w:w="1872"/>
          </w:tcPr>
          <w:p>
            <w:pPr>
              <w:spacing w:after="0" w:line="240" w:lineRule="auto"/>
            </w:pPr>
            <w:r/>
            <w:r>
              <w:rPr>
                <w:sz w:val="17"/>
              </w:rPr>
              <w:t>16</w:t>
            </w:r>
          </w:p>
        </w:tc>
        <w:tc>
          <w:tcPr>
            <w:tcW w:type="dxa" w:w="1296"/>
          </w:tcPr>
          <w:p>
            <w:pPr>
              <w:spacing w:after="0" w:line="240" w:lineRule="auto"/>
            </w:pPr>
            <w:r/>
            <w:r>
              <w:rPr>
                <w:sz w:val="17"/>
              </w:rPr>
              <w:t>31</w:t>
            </w:r>
          </w:p>
        </w:tc>
      </w:tr>
      <w:tr>
        <w:trPr>
          <w:cantSplit w:val="true"/>
        </w:trPr>
        <w:tc>
          <w:tcPr>
            <w:tcW w:type="dxa" w:w="4896"/>
          </w:tcPr>
          <w:p>
            <w:pPr>
              <w:spacing w:after="0" w:line="240" w:lineRule="auto"/>
            </w:pPr>
            <w:r/>
            <w:r>
              <w:rPr>
                <w:sz w:val="17"/>
              </w:rPr>
              <w:t>Immune system disorders</w:t>
            </w:r>
          </w:p>
        </w:tc>
        <w:tc>
          <w:tcPr>
            <w:tcW w:type="dxa" w:w="2304"/>
          </w:tcPr>
          <w:p>
            <w:pPr>
              <w:spacing w:after="0" w:line="240" w:lineRule="auto"/>
            </w:pPr>
            <w:r/>
            <w:r>
              <w:rPr>
                <w:sz w:val="17"/>
              </w:rPr>
              <w:t>1</w:t>
            </w:r>
          </w:p>
        </w:tc>
        <w:tc>
          <w:tcPr>
            <w:tcW w:type="dxa" w:w="1872"/>
          </w:tcPr>
          <w:p>
            <w:pPr>
              <w:spacing w:after="0" w:line="240" w:lineRule="auto"/>
            </w:pPr>
            <w:r/>
            <w:r>
              <w:rPr>
                <w:sz w:val="17"/>
              </w:rPr>
              <w:t>0</w:t>
            </w:r>
          </w:p>
        </w:tc>
        <w:tc>
          <w:tcPr>
            <w:tcW w:type="dxa" w:w="1872"/>
          </w:tcPr>
          <w:p>
            <w:pPr>
              <w:spacing w:after="0" w:line="240" w:lineRule="auto"/>
            </w:pPr>
            <w:r/>
            <w:r>
              <w:rPr>
                <w:sz w:val="17"/>
              </w:rPr>
              <w:t>0</w:t>
            </w:r>
          </w:p>
        </w:tc>
        <w:tc>
          <w:tcPr>
            <w:tcW w:type="dxa" w:w="1296"/>
          </w:tcPr>
          <w:p>
            <w:pPr>
              <w:spacing w:after="0" w:line="240" w:lineRule="auto"/>
            </w:pPr>
            <w:r/>
            <w:r>
              <w:rPr>
                <w:sz w:val="17"/>
              </w:rPr>
              <w:t>1</w:t>
            </w:r>
          </w:p>
        </w:tc>
      </w:tr>
      <w:tr>
        <w:trPr>
          <w:cantSplit w:val="true"/>
        </w:trPr>
        <w:tc>
          <w:tcPr>
            <w:tcW w:type="dxa" w:w="4896"/>
          </w:tcPr>
          <w:p>
            <w:pPr>
              <w:spacing w:after="0" w:line="240" w:lineRule="auto"/>
            </w:pPr>
            <w:r/>
            <w:r>
              <w:rPr>
                <w:sz w:val="17"/>
              </w:rPr>
              <w:t>Nervous system disorders</w:t>
            </w:r>
          </w:p>
        </w:tc>
        <w:tc>
          <w:tcPr>
            <w:tcW w:type="dxa" w:w="2304"/>
          </w:tcPr>
          <w:p>
            <w:pPr>
              <w:spacing w:after="0" w:line="240" w:lineRule="auto"/>
            </w:pPr>
            <w:r/>
            <w:r>
              <w:rPr>
                <w:sz w:val="17"/>
              </w:rPr>
              <w:t>4</w:t>
            </w:r>
          </w:p>
        </w:tc>
        <w:tc>
          <w:tcPr>
            <w:tcW w:type="dxa" w:w="1872"/>
          </w:tcPr>
          <w:p>
            <w:pPr>
              <w:spacing w:after="0" w:line="240" w:lineRule="auto"/>
            </w:pPr>
            <w:r/>
            <w:r>
              <w:rPr>
                <w:sz w:val="17"/>
              </w:rPr>
              <w:t>3</w:t>
            </w:r>
          </w:p>
        </w:tc>
        <w:tc>
          <w:tcPr>
            <w:tcW w:type="dxa" w:w="1872"/>
          </w:tcPr>
          <w:p>
            <w:pPr>
              <w:spacing w:after="0" w:line="240" w:lineRule="auto"/>
            </w:pPr>
            <w:r/>
            <w:r>
              <w:rPr>
                <w:sz w:val="17"/>
              </w:rPr>
              <w:t>2</w:t>
            </w:r>
          </w:p>
        </w:tc>
        <w:tc>
          <w:tcPr>
            <w:tcW w:type="dxa" w:w="1296"/>
          </w:tcPr>
          <w:p>
            <w:pPr>
              <w:spacing w:after="0" w:line="240" w:lineRule="auto"/>
            </w:pPr>
            <w:r/>
            <w:r>
              <w:rPr>
                <w:sz w:val="17"/>
              </w:rPr>
              <w:t>9</w:t>
            </w:r>
          </w:p>
        </w:tc>
      </w:tr>
      <w:tr>
        <w:trPr>
          <w:cantSplit w:val="true"/>
        </w:trPr>
        <w:tc>
          <w:tcPr>
            <w:tcW w:type="dxa" w:w="4896"/>
          </w:tcPr>
          <w:p>
            <w:pPr>
              <w:spacing w:after="0" w:line="240" w:lineRule="auto"/>
            </w:pPr>
            <w:r/>
            <w:r>
              <w:rPr>
                <w:sz w:val="17"/>
              </w:rPr>
              <w:t>Cardiac disorders</w:t>
            </w:r>
          </w:p>
        </w:tc>
        <w:tc>
          <w:tcPr>
            <w:tcW w:type="dxa" w:w="2304"/>
          </w:tcPr>
          <w:p>
            <w:pPr>
              <w:spacing w:after="0" w:line="240" w:lineRule="auto"/>
            </w:pPr>
            <w:r/>
            <w:r>
              <w:rPr>
                <w:sz w:val="17"/>
              </w:rPr>
              <w:t>2</w:t>
            </w:r>
          </w:p>
        </w:tc>
        <w:tc>
          <w:tcPr>
            <w:tcW w:type="dxa" w:w="1872"/>
          </w:tcPr>
          <w:p>
            <w:pPr>
              <w:spacing w:after="0" w:line="240" w:lineRule="auto"/>
            </w:pPr>
            <w:r/>
            <w:r>
              <w:rPr>
                <w:sz w:val="17"/>
              </w:rPr>
              <w:t>1</w:t>
            </w:r>
          </w:p>
        </w:tc>
        <w:tc>
          <w:tcPr>
            <w:tcW w:type="dxa" w:w="1872"/>
          </w:tcPr>
          <w:p>
            <w:pPr>
              <w:spacing w:after="0" w:line="240" w:lineRule="auto"/>
            </w:pPr>
            <w:r/>
            <w:r>
              <w:rPr>
                <w:sz w:val="17"/>
              </w:rPr>
              <w:t>1</w:t>
            </w:r>
          </w:p>
        </w:tc>
        <w:tc>
          <w:tcPr>
            <w:tcW w:type="dxa" w:w="1296"/>
          </w:tcPr>
          <w:p>
            <w:pPr>
              <w:spacing w:after="0" w:line="240" w:lineRule="auto"/>
            </w:pPr>
            <w:r/>
            <w:r>
              <w:rPr>
                <w:sz w:val="17"/>
              </w:rPr>
              <w:t>4</w:t>
            </w:r>
          </w:p>
        </w:tc>
      </w:tr>
      <w:tr>
        <w:trPr>
          <w:cantSplit w:val="true"/>
        </w:trPr>
        <w:tc>
          <w:tcPr>
            <w:tcW w:type="dxa" w:w="4896"/>
          </w:tcPr>
          <w:p>
            <w:pPr>
              <w:spacing w:after="0" w:line="240" w:lineRule="auto"/>
            </w:pPr>
            <w:r/>
            <w:r>
              <w:rPr>
                <w:sz w:val="17"/>
              </w:rPr>
              <w:t>Respiratory, thoracic and mediastinal disorders</w:t>
            </w:r>
          </w:p>
        </w:tc>
        <w:tc>
          <w:tcPr>
            <w:tcW w:type="dxa" w:w="2304"/>
          </w:tcPr>
          <w:p>
            <w:pPr>
              <w:spacing w:after="0" w:line="240" w:lineRule="auto"/>
            </w:pPr>
            <w:r/>
            <w:r>
              <w:rPr>
                <w:sz w:val="17"/>
              </w:rPr>
              <w:t>1</w:t>
            </w:r>
          </w:p>
        </w:tc>
        <w:tc>
          <w:tcPr>
            <w:tcW w:type="dxa" w:w="1872"/>
          </w:tcPr>
          <w:p>
            <w:pPr>
              <w:spacing w:after="0" w:line="240" w:lineRule="auto"/>
            </w:pPr>
            <w:r/>
            <w:r>
              <w:rPr>
                <w:sz w:val="17"/>
              </w:rPr>
              <w:t>0</w:t>
            </w:r>
          </w:p>
        </w:tc>
        <w:tc>
          <w:tcPr>
            <w:tcW w:type="dxa" w:w="1872"/>
          </w:tcPr>
          <w:p>
            <w:pPr>
              <w:spacing w:after="0" w:line="240" w:lineRule="auto"/>
            </w:pPr>
            <w:r/>
            <w:r>
              <w:rPr>
                <w:sz w:val="17"/>
              </w:rPr>
              <w:t>1</w:t>
            </w:r>
          </w:p>
        </w:tc>
        <w:tc>
          <w:tcPr>
            <w:tcW w:type="dxa" w:w="1296"/>
          </w:tcPr>
          <w:p>
            <w:pPr>
              <w:spacing w:after="0" w:line="240" w:lineRule="auto"/>
            </w:pPr>
            <w:r/>
            <w:r>
              <w:rPr>
                <w:sz w:val="17"/>
              </w:rPr>
              <w:t>2</w:t>
            </w:r>
          </w:p>
        </w:tc>
      </w:tr>
      <w:tr>
        <w:trPr>
          <w:cantSplit w:val="true"/>
        </w:trPr>
        <w:tc>
          <w:tcPr>
            <w:tcW w:type="dxa" w:w="4896"/>
          </w:tcPr>
          <w:p>
            <w:pPr>
              <w:spacing w:after="0" w:line="240" w:lineRule="auto"/>
            </w:pPr>
            <w:r/>
            <w:r>
              <w:rPr>
                <w:sz w:val="17"/>
              </w:rPr>
              <w:t>Gastrointestinal disorders</w:t>
            </w:r>
          </w:p>
        </w:tc>
        <w:tc>
          <w:tcPr>
            <w:tcW w:type="dxa" w:w="2304"/>
          </w:tcPr>
          <w:p>
            <w:pPr>
              <w:spacing w:after="0" w:line="240" w:lineRule="auto"/>
            </w:pPr>
            <w:r/>
            <w:r>
              <w:rPr>
                <w:sz w:val="17"/>
              </w:rPr>
              <w:t>9</w:t>
            </w:r>
          </w:p>
        </w:tc>
        <w:tc>
          <w:tcPr>
            <w:tcW w:type="dxa" w:w="1872"/>
          </w:tcPr>
          <w:p>
            <w:pPr>
              <w:spacing w:after="0" w:line="240" w:lineRule="auto"/>
            </w:pPr>
            <w:r/>
            <w:r>
              <w:rPr>
                <w:sz w:val="17"/>
              </w:rPr>
              <w:t>5</w:t>
            </w:r>
          </w:p>
        </w:tc>
        <w:tc>
          <w:tcPr>
            <w:tcW w:type="dxa" w:w="1872"/>
          </w:tcPr>
          <w:p>
            <w:pPr>
              <w:spacing w:after="0" w:line="240" w:lineRule="auto"/>
            </w:pPr>
            <w:r/>
            <w:r>
              <w:rPr>
                <w:sz w:val="17"/>
              </w:rPr>
              <w:t>3</w:t>
            </w:r>
          </w:p>
        </w:tc>
        <w:tc>
          <w:tcPr>
            <w:tcW w:type="dxa" w:w="1296"/>
          </w:tcPr>
          <w:p>
            <w:pPr>
              <w:spacing w:after="0" w:line="240" w:lineRule="auto"/>
            </w:pPr>
            <w:r/>
            <w:r>
              <w:rPr>
                <w:sz w:val="17"/>
              </w:rPr>
              <w:t>17</w:t>
            </w:r>
          </w:p>
        </w:tc>
      </w:tr>
      <w:tr>
        <w:trPr>
          <w:cantSplit w:val="true"/>
        </w:trPr>
        <w:tc>
          <w:tcPr>
            <w:tcW w:type="dxa" w:w="4896"/>
          </w:tcPr>
          <w:p>
            <w:pPr>
              <w:spacing w:after="0" w:line="240" w:lineRule="auto"/>
            </w:pPr>
            <w:r/>
            <w:r>
              <w:rPr>
                <w:sz w:val="17"/>
              </w:rPr>
              <w:t>Hepatobiliary disorders</w:t>
            </w:r>
          </w:p>
        </w:tc>
        <w:tc>
          <w:tcPr>
            <w:tcW w:type="dxa" w:w="2304"/>
          </w:tcPr>
          <w:p>
            <w:pPr>
              <w:spacing w:after="0" w:line="240" w:lineRule="auto"/>
            </w:pPr>
            <w:r/>
            <w:r>
              <w:rPr>
                <w:sz w:val="17"/>
              </w:rPr>
              <w:t>0</w:t>
            </w:r>
          </w:p>
        </w:tc>
        <w:tc>
          <w:tcPr>
            <w:tcW w:type="dxa" w:w="1872"/>
          </w:tcPr>
          <w:p>
            <w:pPr>
              <w:spacing w:after="0" w:line="240" w:lineRule="auto"/>
            </w:pPr>
            <w:r/>
            <w:r>
              <w:rPr>
                <w:sz w:val="17"/>
              </w:rPr>
              <w:t>0</w:t>
            </w:r>
          </w:p>
        </w:tc>
        <w:tc>
          <w:tcPr>
            <w:tcW w:type="dxa" w:w="1872"/>
          </w:tcPr>
          <w:p>
            <w:pPr>
              <w:spacing w:after="0" w:line="240" w:lineRule="auto"/>
            </w:pPr>
            <w:r/>
            <w:r>
              <w:rPr>
                <w:sz w:val="17"/>
              </w:rPr>
              <w:t>1</w:t>
            </w:r>
          </w:p>
        </w:tc>
        <w:tc>
          <w:tcPr>
            <w:tcW w:type="dxa" w:w="1296"/>
          </w:tcPr>
          <w:p>
            <w:pPr>
              <w:spacing w:after="0" w:line="240" w:lineRule="auto"/>
            </w:pPr>
            <w:r/>
            <w:r>
              <w:rPr>
                <w:sz w:val="17"/>
              </w:rPr>
              <w:t>1</w:t>
            </w:r>
          </w:p>
        </w:tc>
      </w:tr>
      <w:tr>
        <w:trPr>
          <w:cantSplit w:val="true"/>
        </w:trPr>
        <w:tc>
          <w:tcPr>
            <w:tcW w:type="dxa" w:w="4896"/>
          </w:tcPr>
          <w:p>
            <w:pPr>
              <w:spacing w:after="0" w:line="240" w:lineRule="auto"/>
            </w:pPr>
            <w:r/>
            <w:r>
              <w:rPr>
                <w:sz w:val="17"/>
              </w:rPr>
              <w:t>Musculoskeletal and connective tissue disorders</w:t>
            </w:r>
          </w:p>
        </w:tc>
        <w:tc>
          <w:tcPr>
            <w:tcW w:type="dxa" w:w="2304"/>
          </w:tcPr>
          <w:p>
            <w:pPr>
              <w:spacing w:after="0" w:line="240" w:lineRule="auto"/>
            </w:pPr>
            <w:r/>
            <w:r>
              <w:rPr>
                <w:sz w:val="17"/>
              </w:rPr>
              <w:t>1</w:t>
            </w:r>
          </w:p>
        </w:tc>
        <w:tc>
          <w:tcPr>
            <w:tcW w:type="dxa" w:w="1872"/>
          </w:tcPr>
          <w:p>
            <w:pPr>
              <w:spacing w:after="0" w:line="240" w:lineRule="auto"/>
            </w:pPr>
            <w:r/>
            <w:r>
              <w:rPr>
                <w:sz w:val="17"/>
              </w:rPr>
              <w:t>0</w:t>
            </w:r>
          </w:p>
        </w:tc>
        <w:tc>
          <w:tcPr>
            <w:tcW w:type="dxa" w:w="1872"/>
          </w:tcPr>
          <w:p>
            <w:pPr>
              <w:spacing w:after="0" w:line="240" w:lineRule="auto"/>
            </w:pPr>
            <w:r/>
            <w:r>
              <w:rPr>
                <w:sz w:val="17"/>
              </w:rPr>
              <w:t>0</w:t>
            </w:r>
          </w:p>
        </w:tc>
        <w:tc>
          <w:tcPr>
            <w:tcW w:type="dxa" w:w="1296"/>
          </w:tcPr>
          <w:p>
            <w:pPr>
              <w:spacing w:after="0" w:line="240" w:lineRule="auto"/>
            </w:pPr>
            <w:r/>
            <w:r>
              <w:rPr>
                <w:sz w:val="17"/>
              </w:rPr>
              <w:t>1</w:t>
            </w:r>
          </w:p>
        </w:tc>
      </w:tr>
      <w:tr>
        <w:trPr>
          <w:cantSplit w:val="true"/>
        </w:trPr>
        <w:tc>
          <w:tcPr>
            <w:tcW w:type="dxa" w:w="4896"/>
          </w:tcPr>
          <w:p>
            <w:pPr>
              <w:spacing w:after="0" w:line="240" w:lineRule="auto"/>
            </w:pPr>
            <w:r/>
            <w:r>
              <w:rPr>
                <w:sz w:val="17"/>
              </w:rPr>
              <w:t>Injury, poisoning and procedural complications</w:t>
            </w:r>
          </w:p>
        </w:tc>
        <w:tc>
          <w:tcPr>
            <w:tcW w:type="dxa" w:w="2304"/>
          </w:tcPr>
          <w:p>
            <w:pPr>
              <w:spacing w:after="0" w:line="240" w:lineRule="auto"/>
            </w:pPr>
            <w:r/>
            <w:r>
              <w:rPr>
                <w:sz w:val="17"/>
              </w:rPr>
              <w:t>1</w:t>
            </w:r>
          </w:p>
        </w:tc>
        <w:tc>
          <w:tcPr>
            <w:tcW w:type="dxa" w:w="1872"/>
          </w:tcPr>
          <w:p>
            <w:pPr>
              <w:spacing w:after="0" w:line="240" w:lineRule="auto"/>
            </w:pPr>
            <w:r/>
            <w:r>
              <w:rPr>
                <w:sz w:val="17"/>
              </w:rPr>
              <w:t>1</w:t>
            </w:r>
          </w:p>
        </w:tc>
        <w:tc>
          <w:tcPr>
            <w:tcW w:type="dxa" w:w="1872"/>
          </w:tcPr>
          <w:p>
            <w:pPr>
              <w:spacing w:after="0" w:line="240" w:lineRule="auto"/>
            </w:pPr>
            <w:r/>
            <w:r>
              <w:rPr>
                <w:sz w:val="17"/>
              </w:rPr>
              <w:t>1</w:t>
            </w:r>
          </w:p>
        </w:tc>
        <w:tc>
          <w:tcPr>
            <w:tcW w:type="dxa" w:w="1296"/>
          </w:tcPr>
          <w:p>
            <w:pPr>
              <w:spacing w:after="0" w:line="240" w:lineRule="auto"/>
            </w:pPr>
            <w:r/>
            <w:r>
              <w:rPr>
                <w:sz w:val="17"/>
              </w:rPr>
              <w:t>3</w:t>
            </w:r>
          </w:p>
        </w:tc>
      </w:tr>
      <w:tr>
        <w:trPr>
          <w:cantSplit w:val="true"/>
        </w:trPr>
        <w:tc>
          <w:tcPr>
            <w:tcW w:type="dxa" w:w="4896"/>
          </w:tcPr>
          <w:p>
            <w:pPr>
              <w:spacing w:after="0" w:line="240" w:lineRule="auto"/>
            </w:pPr>
            <w:r/>
            <w:r>
              <w:rPr>
                <w:b/>
                <w:sz w:val="17"/>
              </w:rPr>
              <w:t>All serious adverse events</w:t>
            </w:r>
          </w:p>
        </w:tc>
        <w:tc>
          <w:tcPr>
            <w:tcW w:type="dxa" w:w="2304"/>
          </w:tcPr>
          <w:p>
            <w:pPr>
              <w:spacing w:after="0" w:line="240" w:lineRule="auto"/>
            </w:pPr>
            <w:r/>
            <w:r>
              <w:rPr>
                <w:b/>
                <w:sz w:val="17"/>
              </w:rPr>
              <w:t>32</w:t>
            </w:r>
          </w:p>
        </w:tc>
        <w:tc>
          <w:tcPr>
            <w:tcW w:type="dxa" w:w="1872"/>
          </w:tcPr>
          <w:p>
            <w:pPr>
              <w:spacing w:after="0" w:line="240" w:lineRule="auto"/>
            </w:pPr>
            <w:r/>
            <w:r>
              <w:rPr>
                <w:b/>
                <w:sz w:val="17"/>
              </w:rPr>
              <w:t>12</w:t>
            </w:r>
          </w:p>
        </w:tc>
        <w:tc>
          <w:tcPr>
            <w:tcW w:type="dxa" w:w="1872"/>
          </w:tcPr>
          <w:p>
            <w:pPr>
              <w:spacing w:after="0" w:line="240" w:lineRule="auto"/>
            </w:pPr>
            <w:r/>
            <w:r>
              <w:rPr>
                <w:b/>
                <w:sz w:val="17"/>
              </w:rPr>
              <w:t>25</w:t>
            </w:r>
          </w:p>
        </w:tc>
        <w:tc>
          <w:tcPr>
            <w:tcW w:type="dxa" w:w="1296"/>
          </w:tcPr>
          <w:p>
            <w:pPr>
              <w:spacing w:after="0" w:line="240" w:lineRule="auto"/>
            </w:pPr>
            <w:r/>
            <w:r>
              <w:rPr>
                <w:b/>
                <w:sz w:val="17"/>
              </w:rPr>
              <w:t>69</w:t>
            </w:r>
          </w:p>
        </w:tc>
      </w:tr>
    </w:tbl>
    <w:p>
      <w:pPr>
        <w:spacing w:after="40"/>
      </w:pPr>
    </w:p>
    <w:p>
      <w:pPr>
        <w:spacing w:after="40"/>
      </w:pPr>
      <w:r>
        <w:rPr>
          <w:i/>
          <w:sz w:val="16"/>
        </w:rPr>
        <w:t>The same events as Table A6-1, pooled by treatment. Footnotes to Table A6-1 apply.</w:t>
      </w:r>
    </w:p>
    <w:p>
      <w:pPr>
        <w:sectPr>
          <w:pgSz w:w="15840" w:h="12240" w:orient="landscape"/>
          <w:pgMar w:top="1296" w:right="1440" w:bottom="1296" w:left="1440" w:header="576" w:footer="504" w:gutter="0"/>
          <w:cols w:space="720"/>
          <w:docGrid w:linePitch="360"/>
        </w:sectPr>
      </w:pPr>
    </w:p>
    <w:p>
      <w:pPr>
        <w:pStyle w:val="Heading2"/>
      </w:pPr>
      <w:bookmarkStart w:id="1044" w:name="_Toc0045"/>
      <w:r>
        <w:t>Appendix 7. Scientific Abstracts</w:t>
      </w:r>
      <w:bookmarkEnd w:id="1044"/>
    </w:p>
    <w:p>
      <w:commentRangeStart w:id="75"/>
      <w:r>
        <w:rPr>
          <w:i w:val="0"/>
        </w:rPr>
        <w:t>No abstracts are provided. The literature search described in Section 13 identified no new significant safety findings for XB-7 or its class.</w:t>
      </w:r>
      <w:commentRangeEnd w:id="75"/>
      <w:r>
        <w:rPr>
          <w:rStyle w:val="CommentReference"/>
        </w:rPr>
        <w:commentReference w:id="75"/>
      </w:r>
    </w:p>
    <w:p>
      <w:pPr>
        <w:pStyle w:val="Heading1"/>
      </w:pPr>
      <w:bookmarkStart w:id="1045" w:name="_Toc0046"/>
      <w:r>
        <w:t>Regional Appendices</w:t>
      </w:r>
      <w:bookmarkEnd w:id="1045"/>
    </w:p>
    <w:p>
      <w:pPr>
        <w:pStyle w:val="Heading2"/>
      </w:pPr>
      <w:bookmarkStart w:id="1046" w:name="_Toc0047"/>
      <w:r>
        <w:t>R1. Cumulative Summary Tabulation of Serious Adverse Reactions</w:t>
      </w:r>
      <w:bookmarkEnd w:id="1046"/>
    </w:p>
    <w:p>
      <w:pPr>
        <w:keepNext/>
        <w:spacing w:before="120" w:after="60"/>
      </w:pPr>
      <w:commentRangeStart w:id="76"/>
      <w:r>
        <w:rPr>
          <w:b/>
          <w:color w:val="1F3864"/>
          <w:sz w:val="19"/>
        </w:rPr>
        <w:t>Table R1-1. Serious adverse reactions since the DIBD by trial and arm, with unexpected terms identified</w:t>
      </w:r>
      <w:commentRangeEnd w:id="76"/>
      <w:r>
        <w:rPr>
          <w:rStyle w:val="CommentReference"/>
        </w:rPr>
        <w:commentReference w:id="76"/>
      </w:r>
    </w:p>
    <w:tbl>
      <w:tblPr>
        <w:tblStyle w:val="TableGrid"/>
        <w:tblW w:type="dxa" w:w="9072"/>
        <w:jc w:val="center"/>
        <w:tblLayout w:type="fixed"/>
        <w:tblCellMar>
          <w:top w:w="30" w:type="dxa"/>
          <w:left w:w="70" w:type="dxa"/>
          <w:bottom w:w="30" w:type="dxa"/>
          <w:right w:w="70" w:type="dxa"/>
        </w:tblCellMar>
        <w:tblLook w:firstColumn="1" w:firstRow="1" w:lastColumn="0" w:lastRow="0" w:noHBand="0" w:noVBand="1" w:val="04A0"/>
      </w:tblPr>
      <w:tblGrid>
        <w:gridCol w:w="3024"/>
        <w:gridCol w:w="1224"/>
        <w:gridCol w:w="1296"/>
        <w:gridCol w:w="1368"/>
        <w:gridCol w:w="1224"/>
        <w:gridCol w:w="936"/>
      </w:tblGrid>
      <w:tr>
        <w:trPr>
          <w:cantSplit w:val="true"/>
          <w:tblHeader w:val="true"/>
        </w:trPr>
        <w:tc>
          <w:tcPr>
            <w:tcW w:type="dxa" w:w="3024"/>
            <w:shd w:val="clear" w:color="auto" w:fill="E8EDF4"/>
          </w:tcPr>
          <w:p>
            <w:pPr>
              <w:spacing w:after="0" w:line="240" w:lineRule="auto"/>
            </w:pPr>
            <w:r/>
            <w:r>
              <w:rPr>
                <w:b/>
                <w:sz w:val="17"/>
              </w:rPr>
              <w:t>System Organ Class / Preferred Term</w:t>
            </w:r>
          </w:p>
        </w:tc>
        <w:tc>
          <w:tcPr>
            <w:tcW w:type="dxa" w:w="1224"/>
            <w:shd w:val="clear" w:color="auto" w:fill="E8EDF4"/>
          </w:tcPr>
          <w:p>
            <w:pPr>
              <w:spacing w:after="0" w:line="240" w:lineRule="auto"/>
            </w:pPr>
            <w:r/>
            <w:r>
              <w:rPr>
                <w:b/>
                <w:sz w:val="17"/>
              </w:rPr>
              <w:t>XB-7, XB-201</w:t>
            </w:r>
          </w:p>
        </w:tc>
        <w:tc>
          <w:tcPr>
            <w:tcW w:type="dxa" w:w="1296"/>
            <w:shd w:val="clear" w:color="auto" w:fill="E8EDF4"/>
          </w:tcPr>
          <w:p>
            <w:pPr>
              <w:spacing w:after="0" w:line="240" w:lineRule="auto"/>
            </w:pPr>
            <w:r/>
            <w:r>
              <w:rPr>
                <w:b/>
                <w:sz w:val="17"/>
              </w:rPr>
              <w:t>Placebo, XB-201</w:t>
            </w:r>
          </w:p>
        </w:tc>
        <w:tc>
          <w:tcPr>
            <w:tcW w:type="dxa" w:w="1368"/>
            <w:shd w:val="clear" w:color="auto" w:fill="E8EDF4"/>
          </w:tcPr>
          <w:p>
            <w:pPr>
              <w:spacing w:after="0" w:line="240" w:lineRule="auto"/>
            </w:pPr>
            <w:r/>
            <w:r>
              <w:rPr>
                <w:b/>
                <w:sz w:val="17"/>
              </w:rPr>
              <w:t>Blinded, XB-301</w:t>
            </w:r>
          </w:p>
        </w:tc>
        <w:tc>
          <w:tcPr>
            <w:tcW w:type="dxa" w:w="1224"/>
            <w:shd w:val="clear" w:color="auto" w:fill="E8EDF4"/>
          </w:tcPr>
          <w:p>
            <w:pPr>
              <w:spacing w:after="0" w:line="240" w:lineRule="auto"/>
            </w:pPr>
            <w:r/>
            <w:r>
              <w:rPr>
                <w:b/>
                <w:sz w:val="17"/>
              </w:rPr>
              <w:t>XB-7, XB-302</w:t>
            </w:r>
          </w:p>
        </w:tc>
        <w:tc>
          <w:tcPr>
            <w:tcW w:type="dxa" w:w="936"/>
            <w:shd w:val="clear" w:color="auto" w:fill="E8EDF4"/>
          </w:tcPr>
          <w:p>
            <w:pPr>
              <w:spacing w:after="0" w:line="240" w:lineRule="auto"/>
            </w:pPr>
            <w:r/>
            <w:r>
              <w:rPr>
                <w:b/>
                <w:sz w:val="17"/>
              </w:rPr>
              <w:t>Total</w:t>
            </w:r>
          </w:p>
        </w:tc>
      </w:tr>
      <w:tr>
        <w:trPr>
          <w:cantSplit w:val="true"/>
        </w:trPr>
        <w:tc>
          <w:tcPr>
            <w:tcW w:type="dxa" w:w="3024"/>
          </w:tcPr>
          <w:p>
            <w:pPr>
              <w:spacing w:after="0" w:line="240" w:lineRule="auto"/>
            </w:pPr>
            <w:r/>
            <w:r>
              <w:rPr>
                <w:b/>
                <w:sz w:val="17"/>
              </w:rPr>
              <w:t>Infections and infestations</w:t>
            </w:r>
          </w:p>
        </w:tc>
        <w:tc>
          <w:tcPr>
            <w:tcW w:type="dxa" w:w="1224"/>
          </w:tcPr>
          <w:p>
            <w:pPr>
              <w:spacing w:after="0" w:line="240" w:lineRule="auto"/>
            </w:pPr>
            <w:r/>
            <w:r>
              <w:rPr>
                <w:b/>
                <w:sz w:val="17"/>
              </w:rPr>
              <w:t>6</w:t>
            </w:r>
          </w:p>
        </w:tc>
        <w:tc>
          <w:tcPr>
            <w:tcW w:type="dxa" w:w="1296"/>
          </w:tcPr>
          <w:p>
            <w:pPr>
              <w:spacing w:after="0" w:line="240" w:lineRule="auto"/>
            </w:pPr>
            <w:r/>
            <w:r>
              <w:rPr>
                <w:b/>
                <w:sz w:val="17"/>
              </w:rPr>
              <w:t>1</w:t>
            </w:r>
          </w:p>
        </w:tc>
        <w:tc>
          <w:tcPr>
            <w:tcW w:type="dxa" w:w="1368"/>
          </w:tcPr>
          <w:p>
            <w:pPr>
              <w:spacing w:after="0" w:line="240" w:lineRule="auto"/>
            </w:pPr>
            <w:r/>
            <w:r>
              <w:rPr>
                <w:b/>
                <w:sz w:val="17"/>
              </w:rPr>
              <w:t>13</w:t>
            </w:r>
          </w:p>
        </w:tc>
        <w:tc>
          <w:tcPr>
            <w:tcW w:type="dxa" w:w="1224"/>
          </w:tcPr>
          <w:p>
            <w:pPr>
              <w:spacing w:after="0" w:line="240" w:lineRule="auto"/>
            </w:pPr>
            <w:r/>
            <w:r>
              <w:rPr>
                <w:b/>
                <w:sz w:val="17"/>
              </w:rPr>
              <w:t>6</w:t>
            </w:r>
          </w:p>
        </w:tc>
        <w:tc>
          <w:tcPr>
            <w:tcW w:type="dxa" w:w="936"/>
          </w:tcPr>
          <w:p>
            <w:pPr>
              <w:spacing w:after="0" w:line="240" w:lineRule="auto"/>
            </w:pPr>
            <w:r/>
            <w:r>
              <w:rPr>
                <w:b/>
                <w:sz w:val="17"/>
              </w:rPr>
              <w:t>26</w:t>
            </w:r>
          </w:p>
        </w:tc>
      </w:tr>
      <w:tr>
        <w:trPr>
          <w:cantSplit w:val="true"/>
        </w:trPr>
        <w:tc>
          <w:tcPr>
            <w:tcW w:type="dxa" w:w="3024"/>
          </w:tcPr>
          <w:p>
            <w:pPr>
              <w:spacing w:after="0" w:line="240" w:lineRule="auto"/>
            </w:pPr>
            <w:r/>
            <w:r>
              <w:rPr>
                <w:sz w:val="17"/>
              </w:rPr>
              <w:t xml:space="preserve">    Cellulitis</w:t>
            </w:r>
          </w:p>
        </w:tc>
        <w:tc>
          <w:tcPr>
            <w:tcW w:type="dxa" w:w="1224"/>
          </w:tcPr>
          <w:p>
            <w:pPr>
              <w:spacing w:after="0" w:line="240" w:lineRule="auto"/>
            </w:pPr>
            <w:r/>
            <w:r>
              <w:rPr>
                <w:sz w:val="17"/>
              </w:rPr>
              <w:t>2</w:t>
            </w:r>
          </w:p>
        </w:tc>
        <w:tc>
          <w:tcPr>
            <w:tcW w:type="dxa" w:w="1296"/>
          </w:tcPr>
          <w:p>
            <w:pPr>
              <w:spacing w:after="0" w:line="240" w:lineRule="auto"/>
            </w:pPr>
            <w:r/>
            <w:r>
              <w:rPr>
                <w:sz w:val="17"/>
              </w:rPr>
              <w:t>0</w:t>
            </w:r>
          </w:p>
        </w:tc>
        <w:tc>
          <w:tcPr>
            <w:tcW w:type="dxa" w:w="1368"/>
          </w:tcPr>
          <w:p>
            <w:pPr>
              <w:spacing w:after="0" w:line="240" w:lineRule="auto"/>
            </w:pPr>
            <w:r/>
            <w:r>
              <w:rPr>
                <w:sz w:val="17"/>
              </w:rPr>
              <w:t>4</w:t>
            </w:r>
          </w:p>
        </w:tc>
        <w:tc>
          <w:tcPr>
            <w:tcW w:type="dxa" w:w="1224"/>
          </w:tcPr>
          <w:p>
            <w:pPr>
              <w:spacing w:after="0" w:line="240" w:lineRule="auto"/>
            </w:pPr>
            <w:r/>
            <w:r>
              <w:rPr>
                <w:sz w:val="17"/>
              </w:rPr>
              <w:t>2</w:t>
            </w:r>
          </w:p>
        </w:tc>
        <w:tc>
          <w:tcPr>
            <w:tcW w:type="dxa" w:w="936"/>
          </w:tcPr>
          <w:p>
            <w:pPr>
              <w:spacing w:after="0" w:line="240" w:lineRule="auto"/>
            </w:pPr>
            <w:r/>
            <w:r>
              <w:rPr>
                <w:sz w:val="17"/>
              </w:rPr>
              <w:t>8</w:t>
            </w:r>
          </w:p>
        </w:tc>
      </w:tr>
      <w:tr>
        <w:trPr>
          <w:cantSplit w:val="true"/>
        </w:trPr>
        <w:tc>
          <w:tcPr>
            <w:tcW w:type="dxa" w:w="3024"/>
          </w:tcPr>
          <w:p>
            <w:pPr>
              <w:spacing w:after="0" w:line="240" w:lineRule="auto"/>
            </w:pPr>
            <w:r/>
            <w:r>
              <w:rPr>
                <w:sz w:val="17"/>
              </w:rPr>
              <w:t xml:space="preserve">    Pneumonia</w:t>
            </w:r>
          </w:p>
        </w:tc>
        <w:tc>
          <w:tcPr>
            <w:tcW w:type="dxa" w:w="1224"/>
          </w:tcPr>
          <w:p>
            <w:pPr>
              <w:spacing w:after="0" w:line="240" w:lineRule="auto"/>
            </w:pPr>
            <w:r/>
            <w:r>
              <w:rPr>
                <w:sz w:val="17"/>
              </w:rPr>
              <w:t>4</w:t>
            </w:r>
          </w:p>
        </w:tc>
        <w:tc>
          <w:tcPr>
            <w:tcW w:type="dxa" w:w="1296"/>
          </w:tcPr>
          <w:p>
            <w:pPr>
              <w:spacing w:after="0" w:line="240" w:lineRule="auto"/>
            </w:pPr>
            <w:r/>
            <w:r>
              <w:rPr>
                <w:sz w:val="17"/>
              </w:rPr>
              <w:t>1</w:t>
            </w:r>
          </w:p>
        </w:tc>
        <w:tc>
          <w:tcPr>
            <w:tcW w:type="dxa" w:w="1368"/>
          </w:tcPr>
          <w:p>
            <w:pPr>
              <w:spacing w:after="0" w:line="240" w:lineRule="auto"/>
            </w:pPr>
            <w:r/>
            <w:r>
              <w:rPr>
                <w:sz w:val="17"/>
              </w:rPr>
              <w:t>7</w:t>
            </w:r>
          </w:p>
        </w:tc>
        <w:tc>
          <w:tcPr>
            <w:tcW w:type="dxa" w:w="1224"/>
          </w:tcPr>
          <w:p>
            <w:pPr>
              <w:spacing w:after="0" w:line="240" w:lineRule="auto"/>
            </w:pPr>
            <w:r/>
            <w:r>
              <w:rPr>
                <w:sz w:val="17"/>
              </w:rPr>
              <w:t>3</w:t>
            </w:r>
          </w:p>
        </w:tc>
        <w:tc>
          <w:tcPr>
            <w:tcW w:type="dxa" w:w="936"/>
          </w:tcPr>
          <w:p>
            <w:pPr>
              <w:spacing w:after="0" w:line="240" w:lineRule="auto"/>
            </w:pPr>
            <w:r/>
            <w:r>
              <w:rPr>
                <w:sz w:val="17"/>
              </w:rPr>
              <w:t>15</w:t>
            </w:r>
          </w:p>
        </w:tc>
      </w:tr>
      <w:tr>
        <w:trPr>
          <w:cantSplit w:val="true"/>
        </w:trPr>
        <w:tc>
          <w:tcPr>
            <w:tcW w:type="dxa" w:w="3024"/>
          </w:tcPr>
          <w:p>
            <w:pPr>
              <w:spacing w:after="0" w:line="240" w:lineRule="auto"/>
            </w:pPr>
            <w:r/>
            <w:r>
              <w:rPr>
                <w:sz w:val="17"/>
              </w:rPr>
              <w:t xml:space="preserve">    Sepsis †</w:t>
            </w:r>
          </w:p>
        </w:tc>
        <w:tc>
          <w:tcPr>
            <w:tcW w:type="dxa" w:w="1224"/>
          </w:tcPr>
          <w:p>
            <w:pPr>
              <w:spacing w:after="0" w:line="240" w:lineRule="auto"/>
            </w:pPr>
            <w:r/>
            <w:r>
              <w:rPr>
                <w:sz w:val="17"/>
              </w:rPr>
              <w:t>0</w:t>
            </w:r>
          </w:p>
        </w:tc>
        <w:tc>
          <w:tcPr>
            <w:tcW w:type="dxa" w:w="1296"/>
          </w:tcPr>
          <w:p>
            <w:pPr>
              <w:spacing w:after="0" w:line="240" w:lineRule="auto"/>
            </w:pPr>
            <w:r/>
            <w:r>
              <w:rPr>
                <w:sz w:val="17"/>
              </w:rPr>
              <w:t>0</w:t>
            </w:r>
          </w:p>
        </w:tc>
        <w:tc>
          <w:tcPr>
            <w:tcW w:type="dxa" w:w="1368"/>
          </w:tcPr>
          <w:p>
            <w:pPr>
              <w:spacing w:after="0" w:line="240" w:lineRule="auto"/>
            </w:pPr>
            <w:r/>
            <w:r>
              <w:rPr>
                <w:sz w:val="17"/>
              </w:rPr>
              <w:t>2</w:t>
            </w:r>
          </w:p>
        </w:tc>
        <w:tc>
          <w:tcPr>
            <w:tcW w:type="dxa" w:w="1224"/>
          </w:tcPr>
          <w:p>
            <w:pPr>
              <w:spacing w:after="0" w:line="240" w:lineRule="auto"/>
            </w:pPr>
            <w:r/>
            <w:r>
              <w:rPr>
                <w:sz w:val="17"/>
              </w:rPr>
              <w:t>1</w:t>
            </w:r>
          </w:p>
        </w:tc>
        <w:tc>
          <w:tcPr>
            <w:tcW w:type="dxa" w:w="936"/>
          </w:tcPr>
          <w:p>
            <w:pPr>
              <w:spacing w:after="0" w:line="240" w:lineRule="auto"/>
            </w:pPr>
            <w:r/>
            <w:r>
              <w:rPr>
                <w:sz w:val="17"/>
              </w:rPr>
              <w:t>3</w:t>
            </w:r>
          </w:p>
        </w:tc>
      </w:tr>
    </w:tbl>
    <w:p>
      <w:pPr>
        <w:spacing w:after="40"/>
      </w:pPr>
    </w:p>
    <w:p>
      <w:pPr>
        <w:spacing w:after="40"/>
      </w:pPr>
      <w:r>
        <w:rPr>
          <w:i/>
          <w:sz w:val="16"/>
        </w:rPr>
        <w:t>† Unexpected under IB Edition 5, the RSI for this report (Section 7.1). Serious adverse reactions are serious adverse events assessed as related by the investigator or the sponsor. Column conventions as in Table A6-1. Output regenerated against IB Edition 5 on 24 September 2026.</w:t>
      </w:r>
    </w:p>
    <w:p>
      <w:pPr>
        <w:pStyle w:val="Heading2"/>
      </w:pPr>
      <w:bookmarkStart w:id="1047" w:name="_Toc0048"/>
      <w:r>
        <w:t>R2. Subjects Who Died during the Reporting Period</w:t>
      </w:r>
      <w:bookmarkEnd w:id="1047"/>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1224"/>
        <w:gridCol w:w="720"/>
        <w:gridCol w:w="864"/>
        <w:gridCol w:w="936"/>
        <w:gridCol w:w="720"/>
        <w:gridCol w:w="1152"/>
        <w:gridCol w:w="1368"/>
        <w:gridCol w:w="2376"/>
      </w:tblGrid>
      <w:tr>
        <w:trPr>
          <w:cantSplit w:val="true"/>
          <w:tblHeader w:val="true"/>
        </w:trPr>
        <w:tc>
          <w:tcPr>
            <w:tcW w:type="dxa" w:w="1224"/>
            <w:shd w:val="clear" w:color="auto" w:fill="E8EDF4"/>
          </w:tcPr>
          <w:p>
            <w:pPr>
              <w:spacing w:after="0" w:line="240" w:lineRule="auto"/>
            </w:pPr>
            <w:r/>
            <w:r>
              <w:rPr>
                <w:b/>
                <w:sz w:val="16"/>
              </w:rPr>
              <w:t>Case reference</w:t>
            </w:r>
          </w:p>
        </w:tc>
        <w:tc>
          <w:tcPr>
            <w:tcW w:type="dxa" w:w="720"/>
            <w:shd w:val="clear" w:color="auto" w:fill="E8EDF4"/>
          </w:tcPr>
          <w:p>
            <w:pPr>
              <w:spacing w:after="0" w:line="240" w:lineRule="auto"/>
            </w:pPr>
            <w:r/>
            <w:r>
              <w:rPr>
                <w:b/>
                <w:sz w:val="16"/>
              </w:rPr>
              <w:t>Trial</w:t>
            </w:r>
          </w:p>
        </w:tc>
        <w:tc>
          <w:tcPr>
            <w:tcW w:type="dxa" w:w="864"/>
            <w:shd w:val="clear" w:color="auto" w:fill="E8EDF4"/>
          </w:tcPr>
          <w:p>
            <w:pPr>
              <w:spacing w:after="0" w:line="240" w:lineRule="auto"/>
            </w:pPr>
            <w:r/>
            <w:r>
              <w:rPr>
                <w:b/>
                <w:sz w:val="16"/>
              </w:rPr>
              <w:t>Subject</w:t>
            </w:r>
          </w:p>
        </w:tc>
        <w:tc>
          <w:tcPr>
            <w:tcW w:type="dxa" w:w="936"/>
            <w:shd w:val="clear" w:color="auto" w:fill="E8EDF4"/>
          </w:tcPr>
          <w:p>
            <w:pPr>
              <w:spacing w:after="0" w:line="240" w:lineRule="auto"/>
            </w:pPr>
            <w:r/>
            <w:r>
              <w:rPr>
                <w:b/>
                <w:sz w:val="16"/>
              </w:rPr>
              <w:t>Treatment</w:t>
            </w:r>
          </w:p>
        </w:tc>
        <w:tc>
          <w:tcPr>
            <w:tcW w:type="dxa" w:w="720"/>
            <w:shd w:val="clear" w:color="auto" w:fill="E8EDF4"/>
          </w:tcPr>
          <w:p>
            <w:pPr>
              <w:spacing w:after="0" w:line="240" w:lineRule="auto"/>
            </w:pPr>
            <w:r/>
            <w:r>
              <w:rPr>
                <w:b/>
                <w:sz w:val="16"/>
              </w:rPr>
              <w:t>Age, sex</w:t>
            </w:r>
          </w:p>
        </w:tc>
        <w:tc>
          <w:tcPr>
            <w:tcW w:type="dxa" w:w="1152"/>
            <w:shd w:val="clear" w:color="auto" w:fill="E8EDF4"/>
          </w:tcPr>
          <w:p>
            <w:pPr>
              <w:spacing w:after="0" w:line="240" w:lineRule="auto"/>
            </w:pPr>
            <w:r/>
            <w:r>
              <w:rPr>
                <w:b/>
                <w:sz w:val="16"/>
              </w:rPr>
              <w:t>Date of death</w:t>
            </w:r>
          </w:p>
        </w:tc>
        <w:tc>
          <w:tcPr>
            <w:tcW w:type="dxa" w:w="1368"/>
            <w:shd w:val="clear" w:color="auto" w:fill="E8EDF4"/>
          </w:tcPr>
          <w:p>
            <w:pPr>
              <w:spacing w:after="0" w:line="240" w:lineRule="auto"/>
            </w:pPr>
            <w:r/>
            <w:r>
              <w:rPr>
                <w:b/>
                <w:sz w:val="16"/>
              </w:rPr>
              <w:t>Cause of death</w:t>
            </w:r>
          </w:p>
        </w:tc>
        <w:tc>
          <w:tcPr>
            <w:tcW w:type="dxa" w:w="2376"/>
            <w:shd w:val="clear" w:color="auto" w:fill="E8EDF4"/>
          </w:tcPr>
          <w:p>
            <w:pPr>
              <w:spacing w:after="0" w:line="240" w:lineRule="auto"/>
            </w:pPr>
            <w:r/>
            <w:r>
              <w:rPr>
                <w:b/>
                <w:sz w:val="16"/>
              </w:rPr>
              <w:t>Sponsor causality</w:t>
            </w:r>
          </w:p>
        </w:tc>
      </w:tr>
      <w:tr>
        <w:trPr>
          <w:cantSplit w:val="true"/>
        </w:trPr>
        <w:tc>
          <w:tcPr>
            <w:tcW w:type="dxa" w:w="1224"/>
          </w:tcPr>
          <w:p>
            <w:pPr>
              <w:spacing w:after="0" w:line="240" w:lineRule="auto"/>
            </w:pPr>
            <w:r/>
            <w:r>
              <w:rPr>
                <w:sz w:val="16"/>
              </w:rPr>
              <w:t>XB-2026-00560</w:t>
            </w:r>
          </w:p>
        </w:tc>
        <w:tc>
          <w:tcPr>
            <w:tcW w:type="dxa" w:w="720"/>
          </w:tcPr>
          <w:p>
            <w:pPr>
              <w:spacing w:after="0" w:line="240" w:lineRule="auto"/>
            </w:pPr>
            <w:r/>
            <w:r>
              <w:rPr>
                <w:sz w:val="16"/>
              </w:rPr>
              <w:t>XB-302</w:t>
            </w:r>
          </w:p>
        </w:tc>
        <w:tc>
          <w:tcPr>
            <w:tcW w:type="dxa" w:w="864"/>
          </w:tcPr>
          <w:p>
            <w:pPr>
              <w:spacing w:after="0" w:line="240" w:lineRule="auto"/>
            </w:pPr>
            <w:r/>
            <w:r>
              <w:rPr>
                <w:sz w:val="16"/>
              </w:rPr>
              <w:t>302-0131</w:t>
            </w:r>
          </w:p>
        </w:tc>
        <w:tc>
          <w:tcPr>
            <w:tcW w:type="dxa" w:w="936"/>
          </w:tcPr>
          <w:p>
            <w:pPr>
              <w:spacing w:after="0" w:line="240" w:lineRule="auto"/>
            </w:pPr>
            <w:r/>
            <w:r>
              <w:rPr>
                <w:sz w:val="16"/>
              </w:rPr>
              <w:t>XB-7</w:t>
            </w:r>
          </w:p>
        </w:tc>
        <w:tc>
          <w:tcPr>
            <w:tcW w:type="dxa" w:w="720"/>
          </w:tcPr>
          <w:p>
            <w:pPr>
              <w:spacing w:after="0" w:line="240" w:lineRule="auto"/>
            </w:pPr>
            <w:r/>
            <w:r>
              <w:rPr>
                <w:sz w:val="16"/>
              </w:rPr>
              <w:t>71, M</w:t>
            </w:r>
          </w:p>
        </w:tc>
        <w:tc>
          <w:tcPr>
            <w:tcW w:type="dxa" w:w="1152"/>
          </w:tcPr>
          <w:p>
            <w:pPr>
              <w:spacing w:after="0" w:line="240" w:lineRule="auto"/>
            </w:pPr>
            <w:r/>
            <w:r>
              <w:rPr>
                <w:sz w:val="16"/>
              </w:rPr>
              <w:t>14 April 2026</w:t>
            </w:r>
          </w:p>
        </w:tc>
        <w:tc>
          <w:tcPr>
            <w:tcW w:type="dxa" w:w="1368"/>
          </w:tcPr>
          <w:p>
            <w:pPr>
              <w:spacing w:after="0" w:line="240" w:lineRule="auto"/>
            </w:pPr>
            <w:r/>
            <w:r>
              <w:rPr>
                <w:sz w:val="16"/>
              </w:rPr>
              <w:t>Myocardial infarction</w:t>
            </w:r>
          </w:p>
        </w:tc>
        <w:tc>
          <w:tcPr>
            <w:tcW w:type="dxa" w:w="2376"/>
          </w:tcPr>
          <w:p>
            <w:pPr>
              <w:spacing w:after="0" w:line="240" w:lineRule="auto"/>
            </w:pPr>
            <w:r/>
            <w:r>
              <w:rPr>
                <w:sz w:val="16"/>
              </w:rPr>
              <w:t>Not related: hypertension, type 2 diabetes and current smoking</w:t>
            </w:r>
          </w:p>
        </w:tc>
      </w:tr>
      <w:tr>
        <w:trPr>
          <w:cantSplit w:val="true"/>
        </w:trPr>
        <w:tc>
          <w:tcPr>
            <w:tcW w:type="dxa" w:w="1224"/>
          </w:tcPr>
          <w:p>
            <w:pPr>
              <w:spacing w:after="0" w:line="240" w:lineRule="auto"/>
            </w:pPr>
            <w:r/>
            <w:r>
              <w:rPr>
                <w:sz w:val="16"/>
              </w:rPr>
              <w:t>XB-2026-01601</w:t>
            </w:r>
          </w:p>
        </w:tc>
        <w:tc>
          <w:tcPr>
            <w:tcW w:type="dxa" w:w="720"/>
          </w:tcPr>
          <w:p>
            <w:pPr>
              <w:spacing w:after="0" w:line="240" w:lineRule="auto"/>
            </w:pPr>
            <w:r/>
            <w:r>
              <w:rPr>
                <w:sz w:val="16"/>
              </w:rPr>
              <w:t>XB-301</w:t>
            </w:r>
          </w:p>
        </w:tc>
        <w:tc>
          <w:tcPr>
            <w:tcW w:type="dxa" w:w="864"/>
          </w:tcPr>
          <w:p>
            <w:pPr>
              <w:spacing w:after="0" w:line="240" w:lineRule="auto"/>
            </w:pPr>
            <w:r/>
            <w:r>
              <w:rPr>
                <w:sz w:val="16"/>
              </w:rPr>
              <w:t>301-0570</w:t>
            </w:r>
          </w:p>
        </w:tc>
        <w:tc>
          <w:tcPr>
            <w:tcW w:type="dxa" w:w="936"/>
          </w:tcPr>
          <w:p>
            <w:pPr>
              <w:spacing w:after="0" w:line="240" w:lineRule="auto"/>
            </w:pPr>
            <w:r/>
            <w:r>
              <w:rPr>
                <w:sz w:val="16"/>
              </w:rPr>
              <w:t>Blinded</w:t>
            </w:r>
          </w:p>
        </w:tc>
        <w:tc>
          <w:tcPr>
            <w:tcW w:type="dxa" w:w="720"/>
          </w:tcPr>
          <w:p>
            <w:pPr>
              <w:spacing w:after="0" w:line="240" w:lineRule="auto"/>
            </w:pPr>
            <w:r/>
            <w:r>
              <w:rPr>
                <w:sz w:val="16"/>
              </w:rPr>
              <w:t>44, F</w:t>
            </w:r>
          </w:p>
        </w:tc>
        <w:tc>
          <w:tcPr>
            <w:tcW w:type="dxa" w:w="1152"/>
          </w:tcPr>
          <w:p>
            <w:pPr>
              <w:spacing w:after="0" w:line="240" w:lineRule="auto"/>
            </w:pPr>
            <w:r/>
            <w:r>
              <w:rPr>
                <w:sz w:val="16"/>
              </w:rPr>
              <w:t>3 July 2026</w:t>
            </w:r>
          </w:p>
        </w:tc>
        <w:tc>
          <w:tcPr>
            <w:tcW w:type="dxa" w:w="1368"/>
          </w:tcPr>
          <w:p>
            <w:pPr>
              <w:spacing w:after="0" w:line="240" w:lineRule="auto"/>
            </w:pPr>
            <w:r/>
            <w:r>
              <w:rPr>
                <w:sz w:val="16"/>
              </w:rPr>
              <w:t>Road traffic accident</w:t>
            </w:r>
          </w:p>
        </w:tc>
        <w:tc>
          <w:tcPr>
            <w:tcW w:type="dxa" w:w="2376"/>
          </w:tcPr>
          <w:p>
            <w:pPr>
              <w:spacing w:after="0" w:line="240" w:lineRule="auto"/>
            </w:pPr>
            <w:r/>
            <w:r>
              <w:rPr>
                <w:sz w:val="16"/>
              </w:rPr>
              <w:t>Not related: subject was a pedestrian struck by a vehicle</w:t>
            </w:r>
          </w:p>
        </w:tc>
      </w:tr>
    </w:tbl>
    <w:p>
      <w:pPr>
        <w:spacing w:after="40"/>
      </w:pPr>
    </w:p>
    <w:p>
      <w:pPr>
        <w:pStyle w:val="Heading2"/>
      </w:pPr>
      <w:bookmarkStart w:id="1048" w:name="_Toc0049"/>
      <w:r>
        <w:t>R3. Subjects Who Withdrew from Treatment in Association with an Adverse Event</w:t>
      </w:r>
      <w:bookmarkEnd w:id="1048"/>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1152"/>
        <w:gridCol w:w="1007"/>
        <w:gridCol w:w="2015"/>
        <w:gridCol w:w="2304"/>
        <w:gridCol w:w="1007"/>
        <w:gridCol w:w="1872"/>
      </w:tblGrid>
      <w:tr>
        <w:trPr>
          <w:cantSplit w:val="true"/>
          <w:tblHeader w:val="true"/>
        </w:trPr>
        <w:tc>
          <w:tcPr>
            <w:tcW w:type="dxa" w:w="1152"/>
            <w:shd w:val="clear" w:color="auto" w:fill="E8EDF4"/>
          </w:tcPr>
          <w:p>
            <w:pPr>
              <w:spacing w:after="0" w:line="240" w:lineRule="auto"/>
            </w:pPr>
            <w:r/>
            <w:r>
              <w:rPr>
                <w:b/>
                <w:sz w:val="16"/>
              </w:rPr>
              <w:t>Subject</w:t>
            </w:r>
          </w:p>
        </w:tc>
        <w:tc>
          <w:tcPr>
            <w:tcW w:type="dxa" w:w="1008"/>
            <w:shd w:val="clear" w:color="auto" w:fill="E8EDF4"/>
          </w:tcPr>
          <w:p>
            <w:pPr>
              <w:spacing w:after="0" w:line="240" w:lineRule="auto"/>
            </w:pPr>
            <w:r/>
            <w:r>
              <w:rPr>
                <w:b/>
                <w:sz w:val="16"/>
              </w:rPr>
              <w:t>Trial</w:t>
            </w:r>
          </w:p>
        </w:tc>
        <w:tc>
          <w:tcPr>
            <w:tcW w:type="dxa" w:w="2016"/>
            <w:shd w:val="clear" w:color="auto" w:fill="E8EDF4"/>
          </w:tcPr>
          <w:p>
            <w:pPr>
              <w:spacing w:after="0" w:line="240" w:lineRule="auto"/>
            </w:pPr>
            <w:r/>
            <w:r>
              <w:rPr>
                <w:b/>
                <w:sz w:val="16"/>
              </w:rPr>
              <w:t>Treatment</w:t>
            </w:r>
          </w:p>
        </w:tc>
        <w:tc>
          <w:tcPr>
            <w:tcW w:type="dxa" w:w="2304"/>
            <w:shd w:val="clear" w:color="auto" w:fill="E8EDF4"/>
          </w:tcPr>
          <w:p>
            <w:pPr>
              <w:spacing w:after="0" w:line="240" w:lineRule="auto"/>
            </w:pPr>
            <w:r/>
            <w:r>
              <w:rPr>
                <w:b/>
                <w:sz w:val="16"/>
              </w:rPr>
              <w:t>Adverse event (PT)</w:t>
            </w:r>
          </w:p>
        </w:tc>
        <w:tc>
          <w:tcPr>
            <w:tcW w:type="dxa" w:w="1008"/>
            <w:shd w:val="clear" w:color="auto" w:fill="E8EDF4"/>
          </w:tcPr>
          <w:p>
            <w:pPr>
              <w:spacing w:after="0" w:line="240" w:lineRule="auto"/>
            </w:pPr>
            <w:r/>
            <w:r>
              <w:rPr>
                <w:b/>
                <w:sz w:val="16"/>
              </w:rPr>
              <w:t>Serious</w:t>
            </w:r>
          </w:p>
        </w:tc>
        <w:tc>
          <w:tcPr>
            <w:tcW w:type="dxa" w:w="1872"/>
            <w:shd w:val="clear" w:color="auto" w:fill="E8EDF4"/>
          </w:tcPr>
          <w:p>
            <w:pPr>
              <w:spacing w:after="0" w:line="240" w:lineRule="auto"/>
            </w:pPr>
            <w:r/>
            <w:r>
              <w:rPr>
                <w:b/>
                <w:sz w:val="16"/>
              </w:rPr>
              <w:t>Date of withdrawal</w:t>
            </w:r>
          </w:p>
        </w:tc>
      </w:tr>
      <w:tr>
        <w:trPr>
          <w:cantSplit w:val="true"/>
        </w:trPr>
        <w:tc>
          <w:tcPr>
            <w:tcW w:type="dxa" w:w="1152"/>
          </w:tcPr>
          <w:p>
            <w:pPr>
              <w:spacing w:after="0" w:line="240" w:lineRule="auto"/>
            </w:pPr>
            <w:r/>
            <w:r>
              <w:rPr>
                <w:sz w:val="16"/>
              </w:rPr>
              <w:t>301-0118</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Pneumonia</w:t>
            </w:r>
          </w:p>
        </w:tc>
        <w:tc>
          <w:tcPr>
            <w:tcW w:type="dxa" w:w="1008"/>
          </w:tcPr>
          <w:p>
            <w:pPr>
              <w:spacing w:after="0" w:line="240" w:lineRule="auto"/>
            </w:pPr>
            <w:r/>
            <w:r>
              <w:rPr>
                <w:sz w:val="16"/>
              </w:rPr>
              <w:t>Yes</w:t>
            </w:r>
          </w:p>
        </w:tc>
        <w:tc>
          <w:tcPr>
            <w:tcW w:type="dxa" w:w="1872"/>
          </w:tcPr>
          <w:p>
            <w:pPr>
              <w:spacing w:after="0" w:line="240" w:lineRule="auto"/>
            </w:pPr>
            <w:r/>
            <w:r>
              <w:rPr>
                <w:sz w:val="16"/>
              </w:rPr>
              <w:t>21 October 2025</w:t>
            </w:r>
          </w:p>
        </w:tc>
      </w:tr>
      <w:tr>
        <w:trPr>
          <w:cantSplit w:val="true"/>
        </w:trPr>
        <w:tc>
          <w:tcPr>
            <w:tcW w:type="dxa" w:w="1152"/>
          </w:tcPr>
          <w:p>
            <w:pPr>
              <w:spacing w:after="0" w:line="240" w:lineRule="auto"/>
            </w:pPr>
            <w:r/>
            <w:r>
              <w:rPr>
                <w:sz w:val="16"/>
              </w:rPr>
              <w:t>301-0214</w:t>
            </w:r>
          </w:p>
        </w:tc>
        <w:tc>
          <w:tcPr>
            <w:tcW w:type="dxa" w:w="1008"/>
          </w:tcPr>
          <w:p>
            <w:pPr>
              <w:spacing w:after="0" w:line="240" w:lineRule="auto"/>
            </w:pPr>
            <w:r/>
            <w:r>
              <w:rPr>
                <w:sz w:val="16"/>
              </w:rPr>
              <w:t>XB-301</w:t>
            </w:r>
          </w:p>
        </w:tc>
        <w:tc>
          <w:tcPr>
            <w:tcW w:type="dxa" w:w="2016"/>
          </w:tcPr>
          <w:p>
            <w:pPr>
              <w:spacing w:after="0" w:line="240" w:lineRule="auto"/>
            </w:pPr>
            <w:r/>
            <w:r>
              <w:rPr>
                <w:sz w:val="16"/>
              </w:rPr>
              <w:t>XB-7 (unblinded)</w:t>
            </w:r>
          </w:p>
        </w:tc>
        <w:tc>
          <w:tcPr>
            <w:tcW w:type="dxa" w:w="2304"/>
          </w:tcPr>
          <w:p>
            <w:pPr>
              <w:spacing w:after="0" w:line="240" w:lineRule="auto"/>
            </w:pPr>
            <w:r/>
            <w:r>
              <w:rPr>
                <w:sz w:val="16"/>
              </w:rPr>
              <w:t>Sepsis</w:t>
            </w:r>
          </w:p>
        </w:tc>
        <w:tc>
          <w:tcPr>
            <w:tcW w:type="dxa" w:w="1008"/>
          </w:tcPr>
          <w:p>
            <w:pPr>
              <w:spacing w:after="0" w:line="240" w:lineRule="auto"/>
            </w:pPr>
            <w:r/>
            <w:r>
              <w:rPr>
                <w:sz w:val="16"/>
              </w:rPr>
              <w:t>Yes</w:t>
            </w:r>
          </w:p>
        </w:tc>
        <w:tc>
          <w:tcPr>
            <w:tcW w:type="dxa" w:w="1872"/>
          </w:tcPr>
          <w:p>
            <w:pPr>
              <w:spacing w:after="0" w:line="240" w:lineRule="auto"/>
            </w:pPr>
            <w:r/>
            <w:r>
              <w:rPr>
                <w:sz w:val="16"/>
              </w:rPr>
              <w:t>2 November 2025</w:t>
            </w:r>
          </w:p>
        </w:tc>
      </w:tr>
      <w:tr>
        <w:trPr>
          <w:cantSplit w:val="true"/>
        </w:trPr>
        <w:tc>
          <w:tcPr>
            <w:tcW w:type="dxa" w:w="1152"/>
          </w:tcPr>
          <w:p>
            <w:pPr>
              <w:spacing w:after="0" w:line="240" w:lineRule="auto"/>
            </w:pPr>
            <w:r/>
            <w:r>
              <w:rPr>
                <w:sz w:val="16"/>
              </w:rPr>
              <w:t>301-0044</w:t>
            </w:r>
          </w:p>
        </w:tc>
        <w:tc>
          <w:tcPr>
            <w:tcW w:type="dxa" w:w="1008"/>
          </w:tcPr>
          <w:p>
            <w:pPr>
              <w:spacing w:after="0" w:line="240" w:lineRule="auto"/>
            </w:pPr>
            <w:r/>
            <w:r>
              <w:rPr>
                <w:sz w:val="16"/>
              </w:rPr>
              <w:t>XB-301</w:t>
            </w:r>
          </w:p>
        </w:tc>
        <w:tc>
          <w:tcPr>
            <w:tcW w:type="dxa" w:w="2016"/>
          </w:tcPr>
          <w:p>
            <w:pPr>
              <w:spacing w:after="0" w:line="240" w:lineRule="auto"/>
            </w:pPr>
            <w:r/>
            <w:r>
              <w:rPr>
                <w:sz w:val="16"/>
              </w:rPr>
              <w:t>XB-7 (unblinded)</w:t>
            </w:r>
          </w:p>
        </w:tc>
        <w:tc>
          <w:tcPr>
            <w:tcW w:type="dxa" w:w="2304"/>
          </w:tcPr>
          <w:p>
            <w:pPr>
              <w:spacing w:after="0" w:line="240" w:lineRule="auto"/>
            </w:pPr>
            <w:r/>
            <w:r>
              <w:rPr>
                <w:sz w:val="16"/>
              </w:rPr>
              <w:t>Sepsis</w:t>
            </w:r>
          </w:p>
        </w:tc>
        <w:tc>
          <w:tcPr>
            <w:tcW w:type="dxa" w:w="1008"/>
          </w:tcPr>
          <w:p>
            <w:pPr>
              <w:spacing w:after="0" w:line="240" w:lineRule="auto"/>
            </w:pPr>
            <w:r/>
            <w:r>
              <w:rPr>
                <w:sz w:val="16"/>
              </w:rPr>
              <w:t>Yes</w:t>
            </w:r>
          </w:p>
        </w:tc>
        <w:tc>
          <w:tcPr>
            <w:tcW w:type="dxa" w:w="1872"/>
          </w:tcPr>
          <w:p>
            <w:pPr>
              <w:spacing w:after="0" w:line="240" w:lineRule="auto"/>
            </w:pPr>
            <w:r/>
            <w:r>
              <w:rPr>
                <w:sz w:val="16"/>
              </w:rPr>
              <w:t>18 January 2026</w:t>
            </w:r>
          </w:p>
        </w:tc>
      </w:tr>
      <w:tr>
        <w:trPr>
          <w:cantSplit w:val="true"/>
        </w:trPr>
        <w:tc>
          <w:tcPr>
            <w:tcW w:type="dxa" w:w="1152"/>
          </w:tcPr>
          <w:p>
            <w:pPr>
              <w:spacing w:after="0" w:line="240" w:lineRule="auto"/>
            </w:pPr>
            <w:r/>
            <w:r>
              <w:rPr>
                <w:sz w:val="16"/>
              </w:rPr>
              <w:t>301-0231</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Injection site reaction</w:t>
            </w:r>
          </w:p>
        </w:tc>
        <w:tc>
          <w:tcPr>
            <w:tcW w:type="dxa" w:w="1008"/>
          </w:tcPr>
          <w:p>
            <w:pPr>
              <w:spacing w:after="0" w:line="240" w:lineRule="auto"/>
            </w:pPr>
            <w:r/>
            <w:r>
              <w:rPr>
                <w:sz w:val="16"/>
              </w:rPr>
              <w:t>No</w:t>
            </w:r>
          </w:p>
        </w:tc>
        <w:tc>
          <w:tcPr>
            <w:tcW w:type="dxa" w:w="1872"/>
          </w:tcPr>
          <w:p>
            <w:pPr>
              <w:spacing w:after="0" w:line="240" w:lineRule="auto"/>
            </w:pPr>
            <w:r/>
            <w:r>
              <w:rPr>
                <w:sz w:val="16"/>
              </w:rPr>
              <w:t>6 October 2025</w:t>
            </w:r>
          </w:p>
        </w:tc>
      </w:tr>
      <w:tr>
        <w:trPr>
          <w:cantSplit w:val="true"/>
        </w:trPr>
        <w:tc>
          <w:tcPr>
            <w:tcW w:type="dxa" w:w="1152"/>
          </w:tcPr>
          <w:p>
            <w:pPr>
              <w:spacing w:after="0" w:line="240" w:lineRule="auto"/>
            </w:pPr>
            <w:r/>
            <w:r>
              <w:rPr>
                <w:sz w:val="16"/>
              </w:rPr>
              <w:t>301-0402</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Injection site reaction</w:t>
            </w:r>
          </w:p>
        </w:tc>
        <w:tc>
          <w:tcPr>
            <w:tcW w:type="dxa" w:w="1008"/>
          </w:tcPr>
          <w:p>
            <w:pPr>
              <w:spacing w:after="0" w:line="240" w:lineRule="auto"/>
            </w:pPr>
            <w:r/>
            <w:r>
              <w:rPr>
                <w:sz w:val="16"/>
              </w:rPr>
              <w:t>No</w:t>
            </w:r>
          </w:p>
        </w:tc>
        <w:tc>
          <w:tcPr>
            <w:tcW w:type="dxa" w:w="1872"/>
          </w:tcPr>
          <w:p>
            <w:pPr>
              <w:spacing w:after="0" w:line="240" w:lineRule="auto"/>
            </w:pPr>
            <w:r/>
            <w:r>
              <w:rPr>
                <w:sz w:val="16"/>
              </w:rPr>
              <w:t>24 March 2026</w:t>
            </w:r>
          </w:p>
        </w:tc>
      </w:tr>
      <w:tr>
        <w:trPr>
          <w:cantSplit w:val="true"/>
        </w:trPr>
        <w:tc>
          <w:tcPr>
            <w:tcW w:type="dxa" w:w="1152"/>
          </w:tcPr>
          <w:p>
            <w:pPr>
              <w:spacing w:after="0" w:line="240" w:lineRule="auto"/>
            </w:pPr>
            <w:r/>
            <w:r>
              <w:rPr>
                <w:sz w:val="16"/>
              </w:rPr>
              <w:t>301-0287</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Rash</w:t>
            </w:r>
          </w:p>
        </w:tc>
        <w:tc>
          <w:tcPr>
            <w:tcW w:type="dxa" w:w="1008"/>
          </w:tcPr>
          <w:p>
            <w:pPr>
              <w:spacing w:after="0" w:line="240" w:lineRule="auto"/>
            </w:pPr>
            <w:r/>
            <w:r>
              <w:rPr>
                <w:sz w:val="16"/>
              </w:rPr>
              <w:t>No</w:t>
            </w:r>
          </w:p>
        </w:tc>
        <w:tc>
          <w:tcPr>
            <w:tcW w:type="dxa" w:w="1872"/>
          </w:tcPr>
          <w:p>
            <w:pPr>
              <w:spacing w:after="0" w:line="240" w:lineRule="auto"/>
            </w:pPr>
            <w:r/>
            <w:r>
              <w:rPr>
                <w:sz w:val="16"/>
              </w:rPr>
              <w:t>2 December 2025</w:t>
            </w:r>
          </w:p>
        </w:tc>
      </w:tr>
      <w:tr>
        <w:trPr>
          <w:cantSplit w:val="true"/>
        </w:trPr>
        <w:tc>
          <w:tcPr>
            <w:tcW w:type="dxa" w:w="1152"/>
          </w:tcPr>
          <w:p>
            <w:pPr>
              <w:spacing w:after="0" w:line="240" w:lineRule="auto"/>
            </w:pPr>
            <w:r/>
            <w:r>
              <w:rPr>
                <w:sz w:val="16"/>
              </w:rPr>
              <w:t>301-0355</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Headache</w:t>
            </w:r>
          </w:p>
        </w:tc>
        <w:tc>
          <w:tcPr>
            <w:tcW w:type="dxa" w:w="1008"/>
          </w:tcPr>
          <w:p>
            <w:pPr>
              <w:spacing w:after="0" w:line="240" w:lineRule="auto"/>
            </w:pPr>
            <w:r/>
            <w:r>
              <w:rPr>
                <w:sz w:val="16"/>
              </w:rPr>
              <w:t>No</w:t>
            </w:r>
          </w:p>
        </w:tc>
        <w:tc>
          <w:tcPr>
            <w:tcW w:type="dxa" w:w="1872"/>
          </w:tcPr>
          <w:p>
            <w:pPr>
              <w:spacing w:after="0" w:line="240" w:lineRule="auto"/>
            </w:pPr>
            <w:r/>
            <w:r>
              <w:rPr>
                <w:sz w:val="16"/>
              </w:rPr>
              <w:t>11 February 2026</w:t>
            </w:r>
          </w:p>
        </w:tc>
      </w:tr>
      <w:tr>
        <w:trPr>
          <w:cantSplit w:val="true"/>
        </w:trPr>
        <w:tc>
          <w:tcPr>
            <w:tcW w:type="dxa" w:w="1152"/>
          </w:tcPr>
          <w:p>
            <w:pPr>
              <w:spacing w:after="0" w:line="240" w:lineRule="auto"/>
            </w:pPr>
            <w:r/>
            <w:r>
              <w:rPr>
                <w:sz w:val="16"/>
              </w:rPr>
              <w:t>301-0490</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Nausea</w:t>
            </w:r>
          </w:p>
        </w:tc>
        <w:tc>
          <w:tcPr>
            <w:tcW w:type="dxa" w:w="1008"/>
          </w:tcPr>
          <w:p>
            <w:pPr>
              <w:spacing w:after="0" w:line="240" w:lineRule="auto"/>
            </w:pPr>
            <w:r/>
            <w:r>
              <w:rPr>
                <w:sz w:val="16"/>
              </w:rPr>
              <w:t>No</w:t>
            </w:r>
          </w:p>
        </w:tc>
        <w:tc>
          <w:tcPr>
            <w:tcW w:type="dxa" w:w="1872"/>
          </w:tcPr>
          <w:p>
            <w:pPr>
              <w:spacing w:after="0" w:line="240" w:lineRule="auto"/>
            </w:pPr>
            <w:r/>
            <w:r>
              <w:rPr>
                <w:sz w:val="16"/>
              </w:rPr>
              <w:t>30 April 2026</w:t>
            </w:r>
          </w:p>
        </w:tc>
      </w:tr>
      <w:tr>
        <w:trPr>
          <w:cantSplit w:val="true"/>
        </w:trPr>
        <w:tc>
          <w:tcPr>
            <w:tcW w:type="dxa" w:w="1152"/>
          </w:tcPr>
          <w:p>
            <w:pPr>
              <w:spacing w:after="0" w:line="240" w:lineRule="auto"/>
            </w:pPr>
            <w:r/>
            <w:r>
              <w:rPr>
                <w:sz w:val="16"/>
              </w:rPr>
              <w:t>301-0163</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Arthralgia</w:t>
            </w:r>
          </w:p>
        </w:tc>
        <w:tc>
          <w:tcPr>
            <w:tcW w:type="dxa" w:w="1008"/>
          </w:tcPr>
          <w:p>
            <w:pPr>
              <w:spacing w:after="0" w:line="240" w:lineRule="auto"/>
            </w:pPr>
            <w:r/>
            <w:r>
              <w:rPr>
                <w:sz w:val="16"/>
              </w:rPr>
              <w:t>No</w:t>
            </w:r>
          </w:p>
        </w:tc>
        <w:tc>
          <w:tcPr>
            <w:tcW w:type="dxa" w:w="1872"/>
          </w:tcPr>
          <w:p>
            <w:pPr>
              <w:spacing w:after="0" w:line="240" w:lineRule="auto"/>
            </w:pPr>
            <w:r/>
            <w:r>
              <w:rPr>
                <w:sz w:val="16"/>
              </w:rPr>
              <w:t>17 May 2026</w:t>
            </w:r>
          </w:p>
        </w:tc>
      </w:tr>
      <w:tr>
        <w:trPr>
          <w:cantSplit w:val="true"/>
        </w:trPr>
        <w:tc>
          <w:tcPr>
            <w:tcW w:type="dxa" w:w="1152"/>
          </w:tcPr>
          <w:p>
            <w:pPr>
              <w:spacing w:after="0" w:line="240" w:lineRule="auto"/>
            </w:pPr>
            <w:r/>
            <w:r>
              <w:rPr>
                <w:sz w:val="16"/>
              </w:rPr>
              <w:t>301-0511</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Fatigue</w:t>
            </w:r>
          </w:p>
        </w:tc>
        <w:tc>
          <w:tcPr>
            <w:tcW w:type="dxa" w:w="1008"/>
          </w:tcPr>
          <w:p>
            <w:pPr>
              <w:spacing w:after="0" w:line="240" w:lineRule="auto"/>
            </w:pPr>
            <w:r/>
            <w:r>
              <w:rPr>
                <w:sz w:val="16"/>
              </w:rPr>
              <w:t>No</w:t>
            </w:r>
          </w:p>
        </w:tc>
        <w:tc>
          <w:tcPr>
            <w:tcW w:type="dxa" w:w="1872"/>
          </w:tcPr>
          <w:p>
            <w:pPr>
              <w:spacing w:after="0" w:line="240" w:lineRule="auto"/>
            </w:pPr>
            <w:r/>
            <w:r>
              <w:rPr>
                <w:sz w:val="16"/>
              </w:rPr>
              <w:t>9 June 2026</w:t>
            </w:r>
          </w:p>
        </w:tc>
      </w:tr>
      <w:tr>
        <w:trPr>
          <w:cantSplit w:val="true"/>
        </w:trPr>
        <w:tc>
          <w:tcPr>
            <w:tcW w:type="dxa" w:w="1152"/>
          </w:tcPr>
          <w:p>
            <w:pPr>
              <w:spacing w:after="0" w:line="240" w:lineRule="auto"/>
            </w:pPr>
            <w:r/>
            <w:r>
              <w:rPr>
                <w:sz w:val="16"/>
              </w:rPr>
              <w:t>301-0377</w:t>
            </w:r>
          </w:p>
        </w:tc>
        <w:tc>
          <w:tcPr>
            <w:tcW w:type="dxa" w:w="1008"/>
          </w:tcPr>
          <w:p>
            <w:pPr>
              <w:spacing w:after="0" w:line="240" w:lineRule="auto"/>
            </w:pPr>
            <w:r/>
            <w:r>
              <w:rPr>
                <w:sz w:val="16"/>
              </w:rPr>
              <w:t>XB-301</w:t>
            </w:r>
          </w:p>
        </w:tc>
        <w:tc>
          <w:tcPr>
            <w:tcW w:type="dxa" w:w="2016"/>
          </w:tcPr>
          <w:p>
            <w:pPr>
              <w:spacing w:after="0" w:line="240" w:lineRule="auto"/>
            </w:pPr>
            <w:r/>
            <w:r>
              <w:rPr>
                <w:sz w:val="16"/>
              </w:rPr>
              <w:t>Blinded</w:t>
            </w:r>
          </w:p>
        </w:tc>
        <w:tc>
          <w:tcPr>
            <w:tcW w:type="dxa" w:w="2304"/>
          </w:tcPr>
          <w:p>
            <w:pPr>
              <w:spacing w:after="0" w:line="240" w:lineRule="auto"/>
            </w:pPr>
            <w:r/>
            <w:r>
              <w:rPr>
                <w:sz w:val="16"/>
              </w:rPr>
              <w:t>Abdominal pain</w:t>
            </w:r>
          </w:p>
        </w:tc>
        <w:tc>
          <w:tcPr>
            <w:tcW w:type="dxa" w:w="1008"/>
          </w:tcPr>
          <w:p>
            <w:pPr>
              <w:spacing w:after="0" w:line="240" w:lineRule="auto"/>
            </w:pPr>
            <w:r/>
            <w:r>
              <w:rPr>
                <w:sz w:val="16"/>
              </w:rPr>
              <w:t>Yes</w:t>
            </w:r>
          </w:p>
        </w:tc>
        <w:tc>
          <w:tcPr>
            <w:tcW w:type="dxa" w:w="1872"/>
          </w:tcPr>
          <w:p>
            <w:pPr>
              <w:spacing w:after="0" w:line="240" w:lineRule="auto"/>
            </w:pPr>
            <w:r/>
            <w:r>
              <w:rPr>
                <w:sz w:val="16"/>
              </w:rPr>
              <w:t>28 July 2026</w:t>
            </w:r>
          </w:p>
        </w:tc>
      </w:tr>
      <w:tr>
        <w:trPr>
          <w:cantSplit w:val="true"/>
        </w:trPr>
        <w:tc>
          <w:tcPr>
            <w:tcW w:type="dxa" w:w="1152"/>
          </w:tcPr>
          <w:p>
            <w:pPr>
              <w:spacing w:after="0" w:line="240" w:lineRule="auto"/>
            </w:pPr>
            <w:r/>
            <w:r>
              <w:rPr>
                <w:sz w:val="16"/>
              </w:rPr>
              <w:t>302-0051</w:t>
            </w:r>
          </w:p>
        </w:tc>
        <w:tc>
          <w:tcPr>
            <w:tcW w:type="dxa" w:w="1008"/>
          </w:tcPr>
          <w:p>
            <w:pPr>
              <w:spacing w:after="0" w:line="240" w:lineRule="auto"/>
            </w:pPr>
            <w:r/>
            <w:r>
              <w:rPr>
                <w:sz w:val="16"/>
              </w:rPr>
              <w:t>XB-302</w:t>
            </w:r>
          </w:p>
        </w:tc>
        <w:tc>
          <w:tcPr>
            <w:tcW w:type="dxa" w:w="2016"/>
          </w:tcPr>
          <w:p>
            <w:pPr>
              <w:spacing w:after="0" w:line="240" w:lineRule="auto"/>
            </w:pPr>
            <w:r/>
            <w:r>
              <w:rPr>
                <w:sz w:val="16"/>
              </w:rPr>
              <w:t>XB-7</w:t>
            </w:r>
          </w:p>
        </w:tc>
        <w:tc>
          <w:tcPr>
            <w:tcW w:type="dxa" w:w="2304"/>
          </w:tcPr>
          <w:p>
            <w:pPr>
              <w:spacing w:after="0" w:line="240" w:lineRule="auto"/>
            </w:pPr>
            <w:r/>
            <w:r>
              <w:rPr>
                <w:sz w:val="16"/>
              </w:rPr>
              <w:t>Cellulitis</w:t>
            </w:r>
          </w:p>
        </w:tc>
        <w:tc>
          <w:tcPr>
            <w:tcW w:type="dxa" w:w="1008"/>
          </w:tcPr>
          <w:p>
            <w:pPr>
              <w:spacing w:after="0" w:line="240" w:lineRule="auto"/>
            </w:pPr>
            <w:r/>
            <w:r>
              <w:rPr>
                <w:sz w:val="16"/>
              </w:rPr>
              <w:t>Yes</w:t>
            </w:r>
          </w:p>
        </w:tc>
        <w:tc>
          <w:tcPr>
            <w:tcW w:type="dxa" w:w="1872"/>
          </w:tcPr>
          <w:p>
            <w:pPr>
              <w:spacing w:after="0" w:line="240" w:lineRule="auto"/>
            </w:pPr>
            <w:r/>
            <w:r>
              <w:rPr>
                <w:sz w:val="16"/>
              </w:rPr>
              <w:t>15 December 2025</w:t>
            </w:r>
          </w:p>
        </w:tc>
      </w:tr>
      <w:tr>
        <w:trPr>
          <w:cantSplit w:val="true"/>
        </w:trPr>
        <w:tc>
          <w:tcPr>
            <w:tcW w:type="dxa" w:w="1152"/>
          </w:tcPr>
          <w:p>
            <w:pPr>
              <w:spacing w:after="0" w:line="240" w:lineRule="auto"/>
            </w:pPr>
            <w:r/>
            <w:r>
              <w:rPr>
                <w:sz w:val="16"/>
              </w:rPr>
              <w:t>302-0088</w:t>
            </w:r>
          </w:p>
        </w:tc>
        <w:tc>
          <w:tcPr>
            <w:tcW w:type="dxa" w:w="1008"/>
          </w:tcPr>
          <w:p>
            <w:pPr>
              <w:spacing w:after="0" w:line="240" w:lineRule="auto"/>
            </w:pPr>
            <w:r/>
            <w:r>
              <w:rPr>
                <w:sz w:val="16"/>
              </w:rPr>
              <w:t>XB-302</w:t>
            </w:r>
          </w:p>
        </w:tc>
        <w:tc>
          <w:tcPr>
            <w:tcW w:type="dxa" w:w="2016"/>
          </w:tcPr>
          <w:p>
            <w:pPr>
              <w:spacing w:after="0" w:line="240" w:lineRule="auto"/>
            </w:pPr>
            <w:r/>
            <w:r>
              <w:rPr>
                <w:sz w:val="16"/>
              </w:rPr>
              <w:t>XB-7</w:t>
            </w:r>
          </w:p>
        </w:tc>
        <w:tc>
          <w:tcPr>
            <w:tcW w:type="dxa" w:w="2304"/>
          </w:tcPr>
          <w:p>
            <w:pPr>
              <w:spacing w:after="0" w:line="240" w:lineRule="auto"/>
            </w:pPr>
            <w:r/>
            <w:r>
              <w:rPr>
                <w:sz w:val="16"/>
              </w:rPr>
              <w:t>Pneumonia</w:t>
            </w:r>
          </w:p>
        </w:tc>
        <w:tc>
          <w:tcPr>
            <w:tcW w:type="dxa" w:w="1008"/>
          </w:tcPr>
          <w:p>
            <w:pPr>
              <w:spacing w:after="0" w:line="240" w:lineRule="auto"/>
            </w:pPr>
            <w:r/>
            <w:r>
              <w:rPr>
                <w:sz w:val="16"/>
              </w:rPr>
              <w:t>Yes</w:t>
            </w:r>
          </w:p>
        </w:tc>
        <w:tc>
          <w:tcPr>
            <w:tcW w:type="dxa" w:w="1872"/>
          </w:tcPr>
          <w:p>
            <w:pPr>
              <w:spacing w:after="0" w:line="240" w:lineRule="auto"/>
            </w:pPr>
            <w:r/>
            <w:r>
              <w:rPr>
                <w:sz w:val="16"/>
              </w:rPr>
              <w:t>27 June 2026</w:t>
            </w:r>
          </w:p>
        </w:tc>
      </w:tr>
      <w:tr>
        <w:trPr>
          <w:cantSplit w:val="true"/>
        </w:trPr>
        <w:tc>
          <w:tcPr>
            <w:tcW w:type="dxa" w:w="1152"/>
          </w:tcPr>
          <w:p>
            <w:pPr>
              <w:spacing w:after="0" w:line="240" w:lineRule="auto"/>
            </w:pPr>
            <w:r/>
            <w:r>
              <w:rPr>
                <w:sz w:val="16"/>
              </w:rPr>
              <w:t>302-0029</w:t>
            </w:r>
          </w:p>
        </w:tc>
        <w:tc>
          <w:tcPr>
            <w:tcW w:type="dxa" w:w="1008"/>
          </w:tcPr>
          <w:p>
            <w:pPr>
              <w:spacing w:after="0" w:line="240" w:lineRule="auto"/>
            </w:pPr>
            <w:r/>
            <w:r>
              <w:rPr>
                <w:sz w:val="16"/>
              </w:rPr>
              <w:t>XB-302</w:t>
            </w:r>
          </w:p>
        </w:tc>
        <w:tc>
          <w:tcPr>
            <w:tcW w:type="dxa" w:w="2016"/>
          </w:tcPr>
          <w:p>
            <w:pPr>
              <w:spacing w:after="0" w:line="240" w:lineRule="auto"/>
            </w:pPr>
            <w:r/>
            <w:r>
              <w:rPr>
                <w:sz w:val="16"/>
              </w:rPr>
              <w:t>XB-7</w:t>
            </w:r>
          </w:p>
        </w:tc>
        <w:tc>
          <w:tcPr>
            <w:tcW w:type="dxa" w:w="2304"/>
          </w:tcPr>
          <w:p>
            <w:pPr>
              <w:spacing w:after="0" w:line="240" w:lineRule="auto"/>
            </w:pPr>
            <w:r/>
            <w:r>
              <w:rPr>
                <w:sz w:val="16"/>
              </w:rPr>
              <w:t>Injection site reaction</w:t>
            </w:r>
          </w:p>
        </w:tc>
        <w:tc>
          <w:tcPr>
            <w:tcW w:type="dxa" w:w="1008"/>
          </w:tcPr>
          <w:p>
            <w:pPr>
              <w:spacing w:after="0" w:line="240" w:lineRule="auto"/>
            </w:pPr>
            <w:r/>
            <w:r>
              <w:rPr>
                <w:sz w:val="16"/>
              </w:rPr>
              <w:t>No</w:t>
            </w:r>
          </w:p>
        </w:tc>
        <w:tc>
          <w:tcPr>
            <w:tcW w:type="dxa" w:w="1872"/>
          </w:tcPr>
          <w:p>
            <w:pPr>
              <w:spacing w:after="0" w:line="240" w:lineRule="auto"/>
            </w:pPr>
            <w:r/>
            <w:r>
              <w:rPr>
                <w:sz w:val="16"/>
              </w:rPr>
              <w:t>13 February 2026</w:t>
            </w:r>
          </w:p>
        </w:tc>
      </w:tr>
      <w:tr>
        <w:trPr>
          <w:cantSplit w:val="true"/>
        </w:trPr>
        <w:tc>
          <w:tcPr>
            <w:tcW w:type="dxa" w:w="1152"/>
          </w:tcPr>
          <w:p>
            <w:pPr>
              <w:spacing w:after="0" w:line="240" w:lineRule="auto"/>
            </w:pPr>
            <w:r/>
            <w:r>
              <w:rPr>
                <w:sz w:val="16"/>
              </w:rPr>
              <w:t>302-0140</w:t>
            </w:r>
          </w:p>
        </w:tc>
        <w:tc>
          <w:tcPr>
            <w:tcW w:type="dxa" w:w="1008"/>
          </w:tcPr>
          <w:p>
            <w:pPr>
              <w:spacing w:after="0" w:line="240" w:lineRule="auto"/>
            </w:pPr>
            <w:r/>
            <w:r>
              <w:rPr>
                <w:sz w:val="16"/>
              </w:rPr>
              <w:t>XB-302</w:t>
            </w:r>
          </w:p>
        </w:tc>
        <w:tc>
          <w:tcPr>
            <w:tcW w:type="dxa" w:w="2016"/>
          </w:tcPr>
          <w:p>
            <w:pPr>
              <w:spacing w:after="0" w:line="240" w:lineRule="auto"/>
            </w:pPr>
            <w:r/>
            <w:r>
              <w:rPr>
                <w:sz w:val="16"/>
              </w:rPr>
              <w:t>XB-7</w:t>
            </w:r>
          </w:p>
        </w:tc>
        <w:tc>
          <w:tcPr>
            <w:tcW w:type="dxa" w:w="2304"/>
          </w:tcPr>
          <w:p>
            <w:pPr>
              <w:spacing w:after="0" w:line="240" w:lineRule="auto"/>
            </w:pPr>
            <w:r/>
            <w:r>
              <w:rPr>
                <w:sz w:val="16"/>
              </w:rPr>
              <w:t>Rash</w:t>
            </w:r>
          </w:p>
        </w:tc>
        <w:tc>
          <w:tcPr>
            <w:tcW w:type="dxa" w:w="1008"/>
          </w:tcPr>
          <w:p>
            <w:pPr>
              <w:spacing w:after="0" w:line="240" w:lineRule="auto"/>
            </w:pPr>
            <w:r/>
            <w:r>
              <w:rPr>
                <w:sz w:val="16"/>
              </w:rPr>
              <w:t>No</w:t>
            </w:r>
          </w:p>
        </w:tc>
        <w:tc>
          <w:tcPr>
            <w:tcW w:type="dxa" w:w="1872"/>
          </w:tcPr>
          <w:p>
            <w:pPr>
              <w:spacing w:after="0" w:line="240" w:lineRule="auto"/>
            </w:pPr>
            <w:r/>
            <w:r>
              <w:rPr>
                <w:sz w:val="16"/>
              </w:rPr>
              <w:t>8 May 2026</w:t>
            </w:r>
          </w:p>
        </w:tc>
      </w:tr>
    </w:tbl>
    <w:p>
      <w:pPr>
        <w:spacing w:after="40"/>
      </w:pPr>
    </w:p>
    <w:p>
      <w:pPr>
        <w:spacing w:after="40"/>
      </w:pPr>
      <w:r>
        <w:rPr>
          <w:i/>
          <w:sz w:val="16"/>
        </w:rPr>
        <w:t>15 subjects: XB-301, 11 (blinded except the two unblinded sepsis cases); XB-302, 4. The deaths in R2 are not repeated here.</w:t>
      </w:r>
    </w:p>
    <w:p>
      <w:pPr>
        <w:pStyle w:val="Heading2"/>
      </w:pPr>
      <w:bookmarkStart w:id="1049" w:name="_Toc0050"/>
      <w:r>
        <w:t>R4. United States IND Items</w:t>
      </w:r>
      <w:bookmarkEnd w:id="1049"/>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2880"/>
        <w:gridCol w:w="6480"/>
      </w:tblGrid>
      <w:tr>
        <w:trPr>
          <w:cantSplit w:val="true"/>
          <w:tblHeader w:val="true"/>
        </w:trPr>
        <w:tc>
          <w:tcPr>
            <w:tcW w:type="dxa" w:w="2880"/>
            <w:shd w:val="clear" w:color="auto" w:fill="E8EDF4"/>
          </w:tcPr>
          <w:p>
            <w:pPr>
              <w:spacing w:after="0" w:line="240" w:lineRule="auto"/>
            </w:pPr>
            <w:r/>
            <w:r>
              <w:rPr>
                <w:b/>
                <w:sz w:val="17"/>
              </w:rPr>
              <w:t>Item</w:t>
            </w:r>
          </w:p>
        </w:tc>
        <w:tc>
          <w:tcPr>
            <w:tcW w:type="dxa" w:w="6480"/>
            <w:shd w:val="clear" w:color="auto" w:fill="E8EDF4"/>
          </w:tcPr>
          <w:p>
            <w:pPr>
              <w:spacing w:after="0" w:line="240" w:lineRule="auto"/>
            </w:pPr>
            <w:r/>
            <w:r>
              <w:rPr>
                <w:b/>
                <w:sz w:val="17"/>
              </w:rPr>
              <w:t>Content</w:t>
            </w:r>
          </w:p>
        </w:tc>
      </w:tr>
      <w:tr>
        <w:trPr>
          <w:cantSplit w:val="true"/>
        </w:trPr>
        <w:tc>
          <w:tcPr>
            <w:tcW w:type="dxa" w:w="2880"/>
          </w:tcPr>
          <w:p>
            <w:pPr>
              <w:spacing w:after="0" w:line="240" w:lineRule="auto"/>
            </w:pPr>
            <w:r/>
            <w:r>
              <w:rPr>
                <w:b/>
                <w:sz w:val="17"/>
              </w:rPr>
              <w:t>Significant Phase 1 protocol modifications</w:t>
            </w:r>
          </w:p>
        </w:tc>
        <w:tc>
          <w:tcPr>
            <w:tcW w:type="dxa" w:w="6480"/>
          </w:tcPr>
          <w:p>
            <w:pPr>
              <w:spacing w:after="0" w:line="240" w:lineRule="auto"/>
            </w:pPr>
            <w:r/>
            <w:r>
              <w:rPr>
                <w:sz w:val="17"/>
              </w:rPr>
              <w:t>None. There are no Phase 1 trials of XB-7 in the program.</w:t>
            </w:r>
          </w:p>
        </w:tc>
      </w:tr>
      <w:tr>
        <w:trPr>
          <w:cantSplit w:val="true"/>
        </w:trPr>
        <w:tc>
          <w:tcPr>
            <w:tcW w:type="dxa" w:w="2880"/>
          </w:tcPr>
          <w:p>
            <w:pPr>
              <w:spacing w:after="0" w:line="240" w:lineRule="auto"/>
            </w:pPr>
            <w:r/>
            <w:r>
              <w:rPr>
                <w:b/>
                <w:sz w:val="17"/>
              </w:rPr>
              <w:t>Significant manufacturing changes</w:t>
            </w:r>
          </w:p>
        </w:tc>
        <w:tc>
          <w:tcPr>
            <w:tcW w:type="dxa" w:w="6480"/>
          </w:tcPr>
          <w:p>
            <w:pPr>
              <w:spacing w:after="0" w:line="240" w:lineRule="auto"/>
            </w:pPr>
            <w:r/>
            <w:r>
              <w:rPr>
                <w:sz w:val="17"/>
              </w:rPr>
              <w:t>None during the period.</w:t>
            </w:r>
          </w:p>
        </w:tc>
      </w:tr>
      <w:tr>
        <w:trPr>
          <w:cantSplit w:val="true"/>
        </w:trPr>
        <w:tc>
          <w:tcPr>
            <w:tcW w:type="dxa" w:w="2880"/>
          </w:tcPr>
          <w:p>
            <w:pPr>
              <w:spacing w:after="0" w:line="240" w:lineRule="auto"/>
            </w:pPr>
            <w:r/>
            <w:r>
              <w:rPr>
                <w:b/>
                <w:sz w:val="17"/>
              </w:rPr>
              <w:t>General investigational plan for the coming year</w:t>
            </w:r>
          </w:p>
        </w:tc>
        <w:tc>
          <w:tcPr>
            <w:tcW w:type="dxa" w:w="6480"/>
          </w:tcPr>
          <w:p>
            <w:pPr>
              <w:spacing w:after="0" w:line="240" w:lineRule="auto"/>
            </w:pPr>
            <w:r/>
            <w:r>
              <w:rPr>
                <w:sz w:val="17"/>
              </w:rPr>
              <w:t>XB-301 continues enrollment toward 600 subjects, with completion expected in 2028; XB-302 continues. The XB-301 protocol amendment adding infection assessment at each visit for subjects aged 75 or older or receiving systemic corticosteroids is expected to be approved in the fourth quarter of 2026. No new trial is planned to start in the coming year.</w:t>
            </w:r>
          </w:p>
        </w:tc>
      </w:tr>
      <w:tr>
        <w:trPr>
          <w:cantSplit w:val="true"/>
        </w:trPr>
        <w:tc>
          <w:tcPr>
            <w:tcW w:type="dxa" w:w="2880"/>
          </w:tcPr>
          <w:p>
            <w:pPr>
              <w:spacing w:after="0" w:line="240" w:lineRule="auto"/>
            </w:pPr>
            <w:r/>
            <w:r>
              <w:rPr>
                <w:b/>
                <w:sz w:val="17"/>
              </w:rPr>
              <w:t>Log of outstanding business</w:t>
            </w:r>
          </w:p>
        </w:tc>
        <w:tc>
          <w:tcPr>
            <w:tcW w:type="dxa" w:w="6480"/>
          </w:tcPr>
          <w:p>
            <w:pPr>
              <w:spacing w:after="0" w:line="240" w:lineRule="auto"/>
            </w:pPr>
            <w:r/>
            <w:r>
              <w:rPr>
                <w:sz w:val="17"/>
              </w:rPr>
              <w:t>No outstanding items.</w:t>
            </w:r>
          </w:p>
        </w:tc>
      </w:tr>
    </w:tbl>
    <w:p>
      <w:pPr>
        <w:spacing w:after="40"/>
      </w:pPr>
    </w:p>
    <w:p>
      <w:pPr>
        <w:pStyle w:val="Heading2"/>
      </w:pPr>
      <w:bookmarkStart w:id="1050" w:name="_Toc0051"/>
      <w:r>
        <w:t>R5. United Kingdom</w:t>
      </w:r>
      <w:bookmarkEnd w:id="1050"/>
    </w:p>
    <w:p>
      <w:commentRangeStart w:id="77"/>
      <w:r>
        <w:rPr>
          <w:i w:val="0"/>
          <w:sz w:val="20"/>
        </w:rPr>
        <w:t>Reference safety information in effect at the start of the reporting period (IB Edition 5, Section 6.4, Reference Safety Information: Expected Serious Adverse Reactions):</w:t>
      </w:r>
      <w:commentRangeEnd w:id="77"/>
      <w:r>
        <w:rPr>
          <w:rStyle w:val="CommentReference"/>
        </w:rPr>
        <w:commentReference w:id="77"/>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3456"/>
        <w:gridCol w:w="3744"/>
        <w:gridCol w:w="2160"/>
      </w:tblGrid>
      <w:tr>
        <w:trPr>
          <w:cantSplit w:val="true"/>
          <w:tblHeader w:val="true"/>
        </w:trPr>
        <w:tc>
          <w:tcPr>
            <w:tcW w:type="dxa" w:w="3456"/>
            <w:shd w:val="clear" w:color="auto" w:fill="E8EDF4"/>
          </w:tcPr>
          <w:p>
            <w:pPr>
              <w:spacing w:after="0" w:line="240" w:lineRule="auto"/>
            </w:pPr>
            <w:r/>
            <w:r>
              <w:rPr>
                <w:b/>
                <w:sz w:val="18"/>
              </w:rPr>
              <w:t>System Organ Class</w:t>
            </w:r>
          </w:p>
        </w:tc>
        <w:tc>
          <w:tcPr>
            <w:tcW w:type="dxa" w:w="3744"/>
            <w:shd w:val="clear" w:color="auto" w:fill="E8EDF4"/>
          </w:tcPr>
          <w:p>
            <w:pPr>
              <w:spacing w:after="0" w:line="240" w:lineRule="auto"/>
            </w:pPr>
            <w:r/>
            <w:r>
              <w:rPr>
                <w:b/>
                <w:sz w:val="18"/>
              </w:rPr>
              <w:t>Serious adverse reaction (MedDRA PT)</w:t>
            </w:r>
          </w:p>
        </w:tc>
        <w:tc>
          <w:tcPr>
            <w:tcW w:type="dxa" w:w="2160"/>
            <w:shd w:val="clear" w:color="auto" w:fill="E8EDF4"/>
          </w:tcPr>
          <w:p>
            <w:pPr>
              <w:spacing w:after="0" w:line="240" w:lineRule="auto"/>
            </w:pPr>
            <w:r/>
            <w:r>
              <w:rPr>
                <w:b/>
                <w:sz w:val="18"/>
              </w:rPr>
              <w:t>Frequency</w:t>
            </w:r>
          </w:p>
        </w:tc>
      </w:tr>
      <w:tr>
        <w:trPr>
          <w:cantSplit w:val="true"/>
        </w:trPr>
        <w:tc>
          <w:tcPr>
            <w:tcW w:type="dxa" w:w="3456"/>
          </w:tcPr>
          <w:p>
            <w:pPr>
              <w:spacing w:after="0" w:line="240" w:lineRule="auto"/>
            </w:pPr>
            <w:r/>
            <w:r>
              <w:rPr>
                <w:sz w:val="18"/>
              </w:rPr>
              <w:t>Infections and infestations</w:t>
            </w:r>
          </w:p>
        </w:tc>
        <w:tc>
          <w:tcPr>
            <w:tcW w:type="dxa" w:w="3744"/>
          </w:tcPr>
          <w:p>
            <w:pPr>
              <w:spacing w:after="0" w:line="240" w:lineRule="auto"/>
            </w:pPr>
            <w:r/>
            <w:r>
              <w:rPr>
                <w:sz w:val="18"/>
              </w:rPr>
              <w:t>Pneumonia</w:t>
            </w:r>
          </w:p>
        </w:tc>
        <w:tc>
          <w:tcPr>
            <w:tcW w:type="dxa" w:w="2160"/>
          </w:tcPr>
          <w:p>
            <w:pPr>
              <w:spacing w:after="0" w:line="240" w:lineRule="auto"/>
            </w:pPr>
            <w:r/>
            <w:r>
              <w:rPr>
                <w:sz w:val="18"/>
              </w:rPr>
              <w:t>Common</w:t>
            </w:r>
          </w:p>
        </w:tc>
      </w:tr>
      <w:tr>
        <w:trPr>
          <w:cantSplit w:val="true"/>
        </w:trPr>
        <w:tc>
          <w:tcPr>
            <w:tcW w:type="dxa" w:w="3456"/>
          </w:tcPr>
          <w:p>
            <w:pPr>
              <w:spacing w:after="0" w:line="240" w:lineRule="auto"/>
            </w:pPr>
            <w:r/>
            <w:r>
              <w:rPr>
                <w:sz w:val="18"/>
              </w:rPr>
              <w:t>Infections and infestations</w:t>
            </w:r>
          </w:p>
        </w:tc>
        <w:tc>
          <w:tcPr>
            <w:tcW w:type="dxa" w:w="3744"/>
          </w:tcPr>
          <w:p>
            <w:pPr>
              <w:spacing w:after="0" w:line="240" w:lineRule="auto"/>
            </w:pPr>
            <w:r/>
            <w:r>
              <w:rPr>
                <w:sz w:val="18"/>
              </w:rPr>
              <w:t>Cellulitis</w:t>
            </w:r>
          </w:p>
        </w:tc>
        <w:tc>
          <w:tcPr>
            <w:tcW w:type="dxa" w:w="2160"/>
          </w:tcPr>
          <w:p>
            <w:pPr>
              <w:spacing w:after="0" w:line="240" w:lineRule="auto"/>
            </w:pPr>
            <w:r/>
            <w:r>
              <w:rPr>
                <w:sz w:val="18"/>
              </w:rPr>
              <w:t>Common</w:t>
            </w:r>
          </w:p>
        </w:tc>
      </w:tr>
    </w:tbl>
    <w:p>
      <w:pPr>
        <w:spacing w:after="40"/>
      </w:pPr>
    </w:p>
    <w:p>
      <w:pPr>
        <w:spacing w:after="40"/>
      </w:pPr>
      <w:r>
        <w:rPr>
          <w:i/>
          <w:sz w:val="16"/>
        </w:rPr>
        <w:t>Edition 5, Section 6.4, as in effect on 2 September 2025. Edition 5 gave frequency categories but no case counts, denominator or statement on fatal outcomes; Edition 6 added all three. Sepsis is not listed in Edition 5 and is therefore unexpected for this DSUR.</w:t>
      </w:r>
    </w:p>
    <w:p>
      <w:r>
        <w:rPr>
          <w:i w:val="0"/>
          <w:sz w:val="20"/>
        </w:rPr>
        <w:t>Latest IB edition: Edition 6, approved March 2026, with the following table of expected serious adverse reactions. Edition 6 becomes the RSI for the next DSUR.</w:t>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2304"/>
        <w:gridCol w:w="2736"/>
        <w:gridCol w:w="864"/>
        <w:gridCol w:w="1296"/>
        <w:gridCol w:w="2160"/>
      </w:tblGrid>
      <w:tr>
        <w:trPr>
          <w:cantSplit w:val="true"/>
          <w:tblHeader w:val="true"/>
        </w:trPr>
        <w:tc>
          <w:tcPr>
            <w:tcW w:type="dxa" w:w="2304"/>
            <w:shd w:val="clear" w:color="auto" w:fill="E8EDF4"/>
          </w:tcPr>
          <w:p>
            <w:pPr>
              <w:spacing w:after="0" w:line="240" w:lineRule="auto"/>
            </w:pPr>
            <w:r/>
            <w:r>
              <w:rPr>
                <w:b/>
                <w:sz w:val="18"/>
              </w:rPr>
              <w:t>System Organ Class</w:t>
            </w:r>
          </w:p>
        </w:tc>
        <w:tc>
          <w:tcPr>
            <w:tcW w:type="dxa" w:w="2736"/>
            <w:shd w:val="clear" w:color="auto" w:fill="E8EDF4"/>
          </w:tcPr>
          <w:p>
            <w:pPr>
              <w:spacing w:after="0" w:line="240" w:lineRule="auto"/>
            </w:pPr>
            <w:r/>
            <w:r>
              <w:rPr>
                <w:b/>
                <w:sz w:val="18"/>
              </w:rPr>
              <w:t>Serious adverse reaction (MedDRA PT)</w:t>
            </w:r>
          </w:p>
        </w:tc>
        <w:tc>
          <w:tcPr>
            <w:tcW w:type="dxa" w:w="864"/>
            <w:shd w:val="clear" w:color="auto" w:fill="E8EDF4"/>
          </w:tcPr>
          <w:p>
            <w:pPr>
              <w:spacing w:after="0" w:line="240" w:lineRule="auto"/>
            </w:pPr>
            <w:r/>
            <w:r>
              <w:rPr>
                <w:b/>
                <w:sz w:val="18"/>
              </w:rPr>
              <w:t>Cases</w:t>
            </w:r>
          </w:p>
        </w:tc>
        <w:tc>
          <w:tcPr>
            <w:tcW w:type="dxa" w:w="1296"/>
            <w:shd w:val="clear" w:color="auto" w:fill="E8EDF4"/>
          </w:tcPr>
          <w:p>
            <w:pPr>
              <w:spacing w:after="0" w:line="240" w:lineRule="auto"/>
            </w:pPr>
            <w:r/>
            <w:r>
              <w:rPr>
                <w:b/>
                <w:sz w:val="18"/>
              </w:rPr>
              <w:t>Frequency</w:t>
            </w:r>
          </w:p>
        </w:tc>
        <w:tc>
          <w:tcPr>
            <w:tcW w:type="dxa" w:w="2160"/>
            <w:shd w:val="clear" w:color="auto" w:fill="E8EDF4"/>
          </w:tcPr>
          <w:p>
            <w:pPr>
              <w:spacing w:after="0" w:line="240" w:lineRule="auto"/>
            </w:pPr>
            <w:r/>
            <w:r>
              <w:rPr>
                <w:b/>
                <w:sz w:val="18"/>
              </w:rPr>
              <w:t>Fatal or life-threatening outcome expected?</w:t>
            </w:r>
          </w:p>
        </w:tc>
      </w:tr>
      <w:tr>
        <w:trPr>
          <w:cantSplit w:val="true"/>
        </w:trPr>
        <w:tc>
          <w:tcPr>
            <w:tcW w:type="dxa" w:w="2304"/>
          </w:tcPr>
          <w:p>
            <w:pPr>
              <w:spacing w:after="0" w:line="240" w:lineRule="auto"/>
            </w:pPr>
            <w:r/>
            <w:r>
              <w:rPr>
                <w:sz w:val="18"/>
              </w:rPr>
              <w:t>Infections and infestations</w:t>
            </w:r>
          </w:p>
        </w:tc>
        <w:tc>
          <w:tcPr>
            <w:tcW w:type="dxa" w:w="2736"/>
          </w:tcPr>
          <w:p>
            <w:pPr>
              <w:spacing w:after="0" w:line="240" w:lineRule="auto"/>
            </w:pPr>
            <w:r/>
            <w:r>
              <w:rPr>
                <w:sz w:val="18"/>
              </w:rPr>
              <w:t>Pneumonia</w:t>
            </w:r>
          </w:p>
        </w:tc>
        <w:tc>
          <w:tcPr>
            <w:tcW w:type="dxa" w:w="864"/>
          </w:tcPr>
          <w:p>
            <w:pPr>
              <w:spacing w:after="0" w:line="240" w:lineRule="auto"/>
            </w:pPr>
            <w:r/>
            <w:r>
              <w:rPr>
                <w:sz w:val="18"/>
              </w:rPr>
              <w:t>6</w:t>
            </w:r>
          </w:p>
        </w:tc>
        <w:tc>
          <w:tcPr>
            <w:tcW w:type="dxa" w:w="1296"/>
          </w:tcPr>
          <w:p>
            <w:pPr>
              <w:spacing w:after="0" w:line="240" w:lineRule="auto"/>
            </w:pPr>
            <w:r/>
            <w:r>
              <w:rPr>
                <w:sz w:val="18"/>
              </w:rPr>
              <w:t>Common</w:t>
            </w:r>
          </w:p>
        </w:tc>
        <w:tc>
          <w:tcPr>
            <w:tcW w:type="dxa" w:w="2160"/>
          </w:tcPr>
          <w:p>
            <w:pPr>
              <w:spacing w:after="0" w:line="240" w:lineRule="auto"/>
            </w:pPr>
            <w:r/>
            <w:r>
              <w:rPr>
                <w:sz w:val="18"/>
              </w:rPr>
              <w:t>No</w:t>
            </w:r>
          </w:p>
        </w:tc>
      </w:tr>
      <w:tr>
        <w:trPr>
          <w:cantSplit w:val="true"/>
        </w:trPr>
        <w:tc>
          <w:tcPr>
            <w:tcW w:type="dxa" w:w="2304"/>
          </w:tcPr>
          <w:p>
            <w:pPr>
              <w:spacing w:after="0" w:line="240" w:lineRule="auto"/>
            </w:pPr>
            <w:r/>
            <w:r>
              <w:rPr>
                <w:sz w:val="18"/>
              </w:rPr>
              <w:t>Infections and infestations</w:t>
            </w:r>
          </w:p>
        </w:tc>
        <w:tc>
          <w:tcPr>
            <w:tcW w:type="dxa" w:w="2736"/>
          </w:tcPr>
          <w:p>
            <w:pPr>
              <w:spacing w:after="0" w:line="240" w:lineRule="auto"/>
            </w:pPr>
            <w:r/>
            <w:r>
              <w:rPr>
                <w:sz w:val="18"/>
              </w:rPr>
              <w:t>Cellulitis</w:t>
            </w:r>
          </w:p>
        </w:tc>
        <w:tc>
          <w:tcPr>
            <w:tcW w:type="dxa" w:w="864"/>
          </w:tcPr>
          <w:p>
            <w:pPr>
              <w:spacing w:after="0" w:line="240" w:lineRule="auto"/>
            </w:pPr>
            <w:r/>
            <w:r>
              <w:rPr>
                <w:sz w:val="18"/>
              </w:rPr>
              <w:t>4</w:t>
            </w:r>
          </w:p>
        </w:tc>
        <w:tc>
          <w:tcPr>
            <w:tcW w:type="dxa" w:w="1296"/>
          </w:tcPr>
          <w:p>
            <w:pPr>
              <w:spacing w:after="0" w:line="240" w:lineRule="auto"/>
            </w:pPr>
            <w:r/>
            <w:r>
              <w:rPr>
                <w:sz w:val="18"/>
              </w:rPr>
              <w:t>Common</w:t>
            </w:r>
          </w:p>
        </w:tc>
        <w:tc>
          <w:tcPr>
            <w:tcW w:type="dxa" w:w="2160"/>
          </w:tcPr>
          <w:p>
            <w:pPr>
              <w:spacing w:after="0" w:line="240" w:lineRule="auto"/>
            </w:pPr>
            <w:r/>
            <w:r>
              <w:rPr>
                <w:sz w:val="18"/>
              </w:rPr>
              <w:t>No</w:t>
            </w:r>
          </w:p>
        </w:tc>
      </w:tr>
      <w:tr>
        <w:trPr>
          <w:cantSplit w:val="true"/>
        </w:trPr>
        <w:tc>
          <w:tcPr>
            <w:tcW w:type="dxa" w:w="2304"/>
          </w:tcPr>
          <w:p>
            <w:pPr>
              <w:spacing w:after="0" w:line="240" w:lineRule="auto"/>
            </w:pPr>
            <w:r/>
            <w:r>
              <w:rPr>
                <w:sz w:val="18"/>
              </w:rPr>
              <w:t>Infections and infestations</w:t>
            </w:r>
          </w:p>
        </w:tc>
        <w:tc>
          <w:tcPr>
            <w:tcW w:type="dxa" w:w="2736"/>
          </w:tcPr>
          <w:p>
            <w:pPr>
              <w:spacing w:after="0" w:line="240" w:lineRule="auto"/>
            </w:pPr>
            <w:r/>
            <w:r>
              <w:rPr>
                <w:sz w:val="18"/>
              </w:rPr>
              <w:t>Sepsis (added in Edition 6)</w:t>
            </w:r>
          </w:p>
        </w:tc>
        <w:tc>
          <w:tcPr>
            <w:tcW w:type="dxa" w:w="864"/>
          </w:tcPr>
          <w:p>
            <w:pPr>
              <w:spacing w:after="0" w:line="240" w:lineRule="auto"/>
            </w:pPr>
            <w:r/>
            <w:r>
              <w:rPr>
                <w:sz w:val="18"/>
              </w:rPr>
              <w:t>3</w:t>
            </w:r>
          </w:p>
        </w:tc>
        <w:tc>
          <w:tcPr>
            <w:tcW w:type="dxa" w:w="1296"/>
          </w:tcPr>
          <w:p>
            <w:pPr>
              <w:spacing w:after="0" w:line="240" w:lineRule="auto"/>
            </w:pPr>
            <w:r/>
            <w:r>
              <w:rPr>
                <w:sz w:val="18"/>
              </w:rPr>
              <w:t>Uncommon</w:t>
            </w:r>
          </w:p>
        </w:tc>
        <w:tc>
          <w:tcPr>
            <w:tcW w:type="dxa" w:w="2160"/>
          </w:tcPr>
          <w:p>
            <w:pPr>
              <w:spacing w:after="0" w:line="240" w:lineRule="auto"/>
            </w:pPr>
            <w:r/>
            <w:r>
              <w:rPr>
                <w:sz w:val="18"/>
              </w:rPr>
              <w:t>No</w:t>
            </w:r>
          </w:p>
        </w:tc>
      </w:tr>
    </w:tbl>
    <w:p>
      <w:pPr>
        <w:spacing w:after="40"/>
      </w:pPr>
    </w:p>
    <w:p>
      <w:pPr>
        <w:spacing w:after="40"/>
      </w:pPr>
      <w:r>
        <w:rPr>
          <w:i/>
          <w:sz w:val="16"/>
        </w:rPr>
        <w:t>Edition 6 data cut-off 31 January 2026. Denominator: 322 subjects with known exposure to XB-7 in completed and open-label trials (XB-201, 180; XB-302, 142). Injection-site reactions are expected but not serious and are described elsewhere in the IB; they are not part of the RSI for SUSAR purposes. Because a fatal outcome is not expected, a fatal case of sepsis would still be unexpected under Edition 6.</w:t>
      </w:r>
    </w:p>
    <w:p>
      <w:r>
        <w:rPr>
          <w:i w:val="0"/>
          <w:sz w:val="20"/>
        </w:rPr>
        <w:t>Signal management. The sponsor's safety management team reviews accumulating blinded and unblinded safety data monthly, including all SUSARs, DMC outcomes and literature. Terms are added to or removed from the RSI only on the team's documented decision, with the evidence and the IB edition recorded in the risk register; a change to the RSI is used for expedited reporting only after it has been authorized.</w:t>
      </w:r>
    </w:p>
    <w:tbl>
      <w:tblPr>
        <w:tblStyle w:val="TableGrid"/>
        <w:tblW w:type="dxa" w:w="9360"/>
        <w:jc w:val="center"/>
        <w:tblLayout w:type="fixed"/>
        <w:tblCellMar>
          <w:top w:w="30" w:type="dxa"/>
          <w:left w:w="70" w:type="dxa"/>
          <w:bottom w:w="30" w:type="dxa"/>
          <w:right w:w="70" w:type="dxa"/>
        </w:tblCellMar>
        <w:tblLook w:firstColumn="1" w:firstRow="1" w:lastColumn="0" w:lastRow="0" w:noHBand="0" w:noVBand="1" w:val="04A0"/>
      </w:tblPr>
      <w:tblGrid>
        <w:gridCol w:w="1944"/>
        <w:gridCol w:w="1152"/>
        <w:gridCol w:w="2088"/>
        <w:gridCol w:w="1007"/>
        <w:gridCol w:w="3168"/>
      </w:tblGrid>
      <w:tr>
        <w:trPr>
          <w:cantSplit w:val="true"/>
          <w:tblHeader w:val="true"/>
        </w:trPr>
        <w:tc>
          <w:tcPr>
            <w:tcW w:type="dxa" w:w="1944"/>
            <w:shd w:val="clear" w:color="auto" w:fill="E8EDF4"/>
          </w:tcPr>
          <w:p>
            <w:pPr>
              <w:spacing w:after="0" w:line="240" w:lineRule="auto"/>
            </w:pPr>
            <w:r/>
            <w:r>
              <w:rPr>
                <w:b/>
                <w:sz w:val="17"/>
              </w:rPr>
              <w:t>Signal</w:t>
            </w:r>
          </w:p>
        </w:tc>
        <w:tc>
          <w:tcPr>
            <w:tcW w:type="dxa" w:w="1152"/>
            <w:shd w:val="clear" w:color="auto" w:fill="E8EDF4"/>
          </w:tcPr>
          <w:p>
            <w:pPr>
              <w:spacing w:after="0" w:line="240" w:lineRule="auto"/>
            </w:pPr>
            <w:r/>
            <w:r>
              <w:rPr>
                <w:b/>
                <w:sz w:val="17"/>
              </w:rPr>
              <w:t>Date detected</w:t>
            </w:r>
          </w:p>
        </w:tc>
        <w:tc>
          <w:tcPr>
            <w:tcW w:type="dxa" w:w="2088"/>
            <w:shd w:val="clear" w:color="auto" w:fill="E8EDF4"/>
          </w:tcPr>
          <w:p>
            <w:pPr>
              <w:spacing w:after="0" w:line="240" w:lineRule="auto"/>
            </w:pPr>
            <w:r/>
            <w:r>
              <w:rPr>
                <w:b/>
                <w:sz w:val="17"/>
              </w:rPr>
              <w:t>Source</w:t>
            </w:r>
          </w:p>
        </w:tc>
        <w:tc>
          <w:tcPr>
            <w:tcW w:type="dxa" w:w="1008"/>
            <w:shd w:val="clear" w:color="auto" w:fill="E8EDF4"/>
          </w:tcPr>
          <w:p>
            <w:pPr>
              <w:spacing w:after="0" w:line="240" w:lineRule="auto"/>
            </w:pPr>
            <w:r/>
            <w:r>
              <w:rPr>
                <w:b/>
                <w:sz w:val="17"/>
              </w:rPr>
              <w:t>Status</w:t>
            </w:r>
          </w:p>
        </w:tc>
        <w:tc>
          <w:tcPr>
            <w:tcW w:type="dxa" w:w="3168"/>
            <w:shd w:val="clear" w:color="auto" w:fill="E8EDF4"/>
          </w:tcPr>
          <w:p>
            <w:pPr>
              <w:spacing w:after="0" w:line="240" w:lineRule="auto"/>
            </w:pPr>
            <w:r/>
            <w:r>
              <w:rPr>
                <w:b/>
                <w:sz w:val="17"/>
              </w:rPr>
              <w:t>Outcome and action</w:t>
            </w:r>
          </w:p>
        </w:tc>
      </w:tr>
      <w:tr>
        <w:trPr>
          <w:cantSplit w:val="true"/>
        </w:trPr>
        <w:tc>
          <w:tcPr>
            <w:tcW w:type="dxa" w:w="1944"/>
          </w:tcPr>
          <w:p>
            <w:pPr>
              <w:spacing w:after="0" w:line="240" w:lineRule="auto"/>
            </w:pPr>
            <w:r/>
            <w:r>
              <w:rPr>
                <w:sz w:val="17"/>
              </w:rPr>
              <w:t>Sepsis</w:t>
            </w:r>
          </w:p>
        </w:tc>
        <w:tc>
          <w:tcPr>
            <w:tcW w:type="dxa" w:w="1152"/>
          </w:tcPr>
          <w:p>
            <w:pPr>
              <w:spacing w:after="0" w:line="240" w:lineRule="auto"/>
            </w:pPr>
            <w:r/>
            <w:r>
              <w:rPr>
                <w:sz w:val="17"/>
              </w:rPr>
              <w:t>January 2026</w:t>
            </w:r>
          </w:p>
        </w:tc>
        <w:tc>
          <w:tcPr>
            <w:tcW w:type="dxa" w:w="2088"/>
          </w:tcPr>
          <w:p>
            <w:pPr>
              <w:spacing w:after="0" w:line="240" w:lineRule="auto"/>
            </w:pPr>
            <w:r/>
            <w:r>
              <w:rPr>
                <w:sz w:val="17"/>
              </w:rPr>
              <w:t>Two SUSARs in XB-301 (both XB-7) and one earlier case in XB-302</w:t>
            </w:r>
          </w:p>
        </w:tc>
        <w:tc>
          <w:tcPr>
            <w:tcW w:type="dxa" w:w="1008"/>
          </w:tcPr>
          <w:p>
            <w:pPr>
              <w:spacing w:after="0" w:line="240" w:lineRule="auto"/>
            </w:pPr>
            <w:r/>
            <w:r>
              <w:rPr>
                <w:sz w:val="17"/>
              </w:rPr>
              <w:t>Closed</w:t>
            </w:r>
          </w:p>
        </w:tc>
        <w:tc>
          <w:tcPr>
            <w:tcW w:type="dxa" w:w="3168"/>
          </w:tcPr>
          <w:p>
            <w:pPr>
              <w:spacing w:after="0" w:line="240" w:lineRule="auto"/>
            </w:pPr>
            <w:r/>
            <w:r>
              <w:rPr>
                <w:sz w:val="17"/>
              </w:rPr>
              <w:t>Confirmed as part of the important identified risk of serious infections; IB Edition 6 (March 2026); consent forms revised (Sections 3, 4 and 19)</w:t>
            </w:r>
          </w:p>
        </w:tc>
      </w:tr>
      <w:tr>
        <w:trPr>
          <w:cantSplit w:val="true"/>
        </w:trPr>
        <w:tc>
          <w:tcPr>
            <w:tcW w:type="dxa" w:w="1944"/>
          </w:tcPr>
          <w:p>
            <w:pPr>
              <w:spacing w:after="0" w:line="240" w:lineRule="auto"/>
            </w:pPr>
            <w:r/>
            <w:r>
              <w:rPr>
                <w:sz w:val="17"/>
              </w:rPr>
              <w:t>Serious infections in subjects aged 75 or older or receiving corticosteroids</w:t>
            </w:r>
          </w:p>
        </w:tc>
        <w:tc>
          <w:tcPr>
            <w:tcW w:type="dxa" w:w="1152"/>
          </w:tcPr>
          <w:p>
            <w:pPr>
              <w:spacing w:after="0" w:line="240" w:lineRule="auto"/>
            </w:pPr>
            <w:r/>
            <w:r>
              <w:rPr>
                <w:sz w:val="17"/>
              </w:rPr>
              <w:t>September 2026</w:t>
            </w:r>
          </w:p>
        </w:tc>
        <w:tc>
          <w:tcPr>
            <w:tcW w:type="dxa" w:w="2088"/>
          </w:tcPr>
          <w:p>
            <w:pPr>
              <w:spacing w:after="0" w:line="240" w:lineRule="auto"/>
            </w:pPr>
            <w:r/>
            <w:r>
              <w:rPr>
                <w:sz w:val="17"/>
              </w:rPr>
              <w:t>DMC recommendation after the DLP; XB-201 and period data</w:t>
            </w:r>
          </w:p>
        </w:tc>
        <w:tc>
          <w:tcPr>
            <w:tcW w:type="dxa" w:w="1008"/>
          </w:tcPr>
          <w:p>
            <w:pPr>
              <w:spacing w:after="0" w:line="240" w:lineRule="auto"/>
            </w:pPr>
            <w:r/>
            <w:r>
              <w:rPr>
                <w:sz w:val="17"/>
              </w:rPr>
              <w:t>Closed with action</w:t>
            </w:r>
          </w:p>
        </w:tc>
        <w:tc>
          <w:tcPr>
            <w:tcW w:type="dxa" w:w="3168"/>
          </w:tcPr>
          <w:p>
            <w:pPr>
              <w:spacing w:after="0" w:line="240" w:lineRule="auto"/>
            </w:pPr>
            <w:r/>
            <w:r>
              <w:rPr>
                <w:sz w:val="17"/>
              </w:rPr>
              <w:t>Infection assessment at each visit in these subgroups; protocol amendment in preparation (Sections 17 and 20)</w:t>
            </w:r>
          </w:p>
        </w:tc>
      </w:tr>
    </w:tbl>
    <w:p>
      <w:pPr>
        <w:spacing w:after="40"/>
      </w:pPr>
    </w:p>
    <w:sectPr w:rsidR="00FC693F" w:rsidRPr="0006063C" w:rsidSect="00034616">
      <w:pgSz w:w="12240" w:h="15840"/>
      <w:pgMar w:top="1296" w:right="1440" w:bottom="1296" w:left="1440" w:header="576"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riting the DSUR (annotation)" w:date="2026-10-02T00:40:08Z" w:initials="WD">
    <w:p w14:paraId="0808BB5C" w14:textId="77777777">
      <w:r>
        <w:rPr>
          <w:rStyle w:val="CommentReference"/>
        </w:rPr>
        <w:annotationRef/>
      </w:r>
      <w:r>
        <w:rPr>
          <w:color w:val="000000"/>
          <w:sz w:val="20"/>
          <w:szCs w:val="20"/>
        </w:rPr>
        <w:t xml:space="preserve">Title page anatomy from Appendix A: sequential DSUR number, drug, period, report date, sponsor, confidentiality statement and an unblinding caution. Every date here is copied from the scope record, the single source for the DLP and period (2.6, 13.5). DSUR 5 follows from a DIBD of 2 September 2021.</w:t>
      </w:r>
    </w:p>
  </w:comment>
  <w:comment w:id="1" w:author="Writing the DSUR (annotation)" w:date="2026-10-02T00:40:08Z" w:initials="WD">
    <w:p w14:paraId="0834A2C8" w14:textId="77777777">
      <w:r>
        <w:rPr>
          <w:rStyle w:val="CommentReference"/>
        </w:rPr>
        <w:annotationRef/>
      </w:r>
      <w:r>
        <w:rPr>
          <w:color w:val="000000"/>
          <w:sz w:val="20"/>
          <w:szCs w:val="20"/>
        </w:rPr>
        <w:t xml:space="preserve">Unblinding caution: the report names XB-7 for both sepsis cases, so E2F's title-page caution applies. The confidentiality statement protects the sponsor's information; only the distribution list (and a masked version for the blinded study team) protects the blind (2.8, Appendix A Title page).</w:t>
      </w:r>
    </w:p>
  </w:comment>
  <w:comment w:id="2" w:author="Writing the DSUR (annotation)" w:date="2026-10-02T00:40:08Z" w:initials="WD">
    <w:p w14:paraId="3A138E52" w14:textId="77777777">
      <w:r>
        <w:rPr>
          <w:rStyle w:val="CommentReference"/>
        </w:rPr>
        <w:annotationRef/>
      </w:r>
      <w:r>
        <w:rPr>
          <w:color w:val="000000"/>
          <w:sz w:val="20"/>
          <w:szCs w:val="20"/>
        </w:rPr>
        <w:t xml:space="preserve">Written last, from the signed-off body, following the seven-part skeleton (12.4). The text is the book's model in 12.6, with the indication and mode of action filled in generically. It fits on one page and passes the stand-alone test: an ethics committee member learns what the drug is, what changed and what is being done (12.8).</w:t>
      </w:r>
    </w:p>
  </w:comment>
  <w:comment w:id="3" w:author="Writing the DSUR (annotation)" w:date="2026-10-02T00:40:08Z" w:initials="WD">
    <w:p w14:paraId="3C93A93B" w14:textId="77777777">
      <w:r>
        <w:rPr>
          <w:rStyle w:val="CommentReference"/>
        </w:rPr>
        <w:annotationRef/>
      </w:r>
      <w:r>
        <w:rPr>
          <w:color w:val="000000"/>
          <w:sz w:val="20"/>
          <w:szCs w:val="20"/>
        </w:rPr>
        <w:t xml:space="preserve">Exposure sentence taken from Section 6.1 (5.10) and flagged as an estimate. 'Development international birth date' is spelled out because the summary may be read alone (13.9, 13.11). Key figure: cumulative exposure, single source Table 6-1 (13.5).</w:t>
      </w:r>
    </w:p>
  </w:comment>
  <w:comment w:id="4" w:author="Writing the DSUR (annotation)" w:date="2026-10-02T00:40:08Z" w:initials="WD">
    <w:p w14:paraId="168CC577" w14:textId="77777777">
      <w:r>
        <w:rPr>
          <w:rStyle w:val="CommentReference"/>
        </w:rPr>
        <w:annotationRef/>
      </w:r>
      <w:r>
        <w:rPr>
          <w:color w:val="000000"/>
          <w:sz w:val="20"/>
          <w:szCs w:val="20"/>
        </w:rPr>
        <w:t xml:space="preserve">Rates with their denominators and reference, so the reader can judge the imbalance without opening Section 18 (Appendix A, Executive Summary). The DMC recommendation is reported in full, including the added monitoring; a summary that says only 'recommended continuation' is the critical QC finding in 15.4 and the must-fix comment in 17.8.</w:t>
      </w:r>
    </w:p>
  </w:comment>
  <w:comment w:id="5" w:author="Writing the DSUR (annotation)" w:date="2026-10-02T00:40:08Z" w:initials="WD">
    <w:p w14:paraId="10991CF4" w14:textId="77777777">
      <w:r>
        <w:rPr>
          <w:rStyle w:val="CommentReference"/>
        </w:rPr>
        <w:annotationRef/>
      </w:r>
      <w:r>
        <w:rPr>
          <w:color w:val="000000"/>
          <w:sz w:val="20"/>
          <w:szCs w:val="20"/>
        </w:rPr>
        <w:t xml:space="preserve">Bulleted list of important risks with new or changed ones marked; names and statuses match Section 19 exactly (12.4, 12.5).</w:t>
      </w:r>
    </w:p>
  </w:comment>
  <w:comment w:id="6" w:author="Writing the DSUR (annotation)" w:date="2026-10-02T00:40:08Z" w:initials="WD">
    <w:p w14:paraId="4E41DBE6" w14:textId="77777777">
      <w:r>
        <w:rPr>
          <w:rStyle w:val="CommentReference"/>
        </w:rPr>
        <w:annotationRef/>
      </w:r>
      <w:r>
        <w:rPr>
          <w:color w:val="000000"/>
          <w:sz w:val="20"/>
          <w:szCs w:val="20"/>
        </w:rPr>
        <w:t xml:space="preserve">Consent changes stated explicitly and the oversight named: the two additions an ethics committee needs (12.8). Sources: Sections 3, 4 and 17.</w:t>
      </w:r>
    </w:p>
  </w:comment>
  <w:comment w:id="7" w:author="Writing the DSUR (annotation)" w:date="2026-10-02T00:40:08Z" w:initials="WD">
    <w:p w14:paraId="39522C45" w14:textId="77777777">
      <w:r>
        <w:rPr>
          <w:rStyle w:val="CommentReference"/>
        </w:rPr>
        <w:annotationRef/>
      </w:r>
      <w:r>
        <w:rPr>
          <w:color w:val="000000"/>
          <w:sz w:val="20"/>
          <w:szCs w:val="20"/>
        </w:rPr>
        <w:t xml:space="preserve">Benefit is 'anticipated', written for trial participants rather than future patients, and the change since the previous DSUR is stated. The same story as Sections 18.2 and 20, at a third length (12.5).</w:t>
      </w:r>
    </w:p>
  </w:comment>
  <w:comment w:id="8" w:author="Writing the DSUR (annotation)" w:date="2026-10-02T00:40:08Z" w:initials="WD">
    <w:p w14:paraId="028603F9" w14:textId="77777777">
      <w:r>
        <w:rPr>
          <w:rStyle w:val="CommentReference"/>
        </w:rPr>
        <w:annotationRef/>
      </w:r>
      <w:r>
        <w:rPr>
          <w:color w:val="000000"/>
          <w:sz w:val="20"/>
          <w:szCs w:val="20"/>
        </w:rPr>
        <w:t xml:space="preserve">All 20 E2F sections and subsections, the seven appendices in E2F numbering and the regional appendices, including sections with nothing to report (Appendix A, Table of contents; 7.4). It is a Word TOC field: right-click and Update Field after editing.</w:t>
      </w:r>
    </w:p>
  </w:comment>
  <w:comment w:id="9" w:author="Writing the DSUR (annotation)" w:date="2026-10-02T00:40:08Z" w:initials="WD">
    <w:p w14:paraId="033E7D8F" w14:textId="77777777">
      <w:r>
        <w:rPr>
          <w:rStyle w:val="CommentReference"/>
        </w:rPr>
        <w:annotationRef/>
      </w:r>
      <w:r>
        <w:rPr>
          <w:color w:val="000000"/>
          <w:sz w:val="20"/>
          <w:szCs w:val="20"/>
        </w:rPr>
        <w:t xml:space="preserve">Section 1 anatomy (Appendix A): period, number and DIBD; the drug; the scope and approach to blinded data; number of DSURs; exclusions and data gaps; scope changes. Late development: state each of these even when nothing changed, because every later DSUR inherits them (2.6, 16.2).</w:t>
      </w:r>
    </w:p>
  </w:comment>
  <w:comment w:id="10" w:author="Writing the DSUR (annotation)" w:date="2026-10-02T00:40:08Z" w:initials="WD">
    <w:p w14:paraId="24CA5EDA" w14:textId="77777777">
      <w:r>
        <w:rPr>
          <w:rStyle w:val="CommentReference"/>
        </w:rPr>
        <w:annotationRef/>
      </w:r>
      <w:r>
        <w:rPr>
          <w:color w:val="000000"/>
          <w:sz w:val="20"/>
          <w:szCs w:val="20"/>
        </w:rPr>
        <w:t xml:space="preserve">Scope, number of DSURs, combination option and data gaps each get a sentence, even when the answer is 'none' (2.3, 2.4, 2.5). A reader who knows nothing about the program can tell what is covered and what is not.</w:t>
      </w:r>
    </w:p>
  </w:comment>
  <w:comment w:id="11" w:author="Writing the DSUR (annotation)" w:date="2026-10-02T00:40:08Z" w:initials="WD">
    <w:p w14:paraId="1CED5602" w14:textId="77777777">
      <w:r>
        <w:rPr>
          <w:rStyle w:val="CommentReference"/>
        </w:rPr>
        <w:annotationRef/>
      </w:r>
      <w:r>
        <w:rPr>
          <w:color w:val="000000"/>
          <w:sz w:val="20"/>
          <w:szCs w:val="20"/>
        </w:rPr>
        <w:t xml:space="preserve">The approach to blinded data is recorded in Section 1 as well as on the title page, as the kickoff decided (2.8, 3.5).</w:t>
      </w:r>
    </w:p>
  </w:comment>
  <w:comment w:id="12" w:author="Writing the DSUR (annotation)" w:date="2026-10-02T00:40:08Z" w:initials="WD">
    <w:p w14:paraId="3F2087AB" w14:textId="77777777">
      <w:r>
        <w:rPr>
          <w:rStyle w:val="CommentReference"/>
        </w:rPr>
        <w:annotationRef/>
      </w:r>
      <w:r>
        <w:rPr>
          <w:color w:val="000000"/>
          <w:sz w:val="20"/>
          <w:szCs w:val="20"/>
        </w:rPr>
        <w:t xml:space="preserve">Late development: one sentence, the Appendix A 'nothing to report' wording. This answer also tells the reader that the IB is the only possible RSI and that Sections 6.2 and 11 have no content (Appendix A, Section 2).</w:t>
      </w:r>
    </w:p>
  </w:comment>
  <w:comment w:id="13" w:author="Writing the DSUR (annotation)" w:date="2026-10-02T00:40:08Z" w:initials="WD">
    <w:p w14:paraId="0743B771" w14:textId="77777777">
      <w:r>
        <w:rPr>
          <w:rStyle w:val="CommentReference"/>
        </w:rPr>
        <w:annotationRef/>
      </w:r>
      <w:r>
        <w:rPr>
          <w:color w:val="000000"/>
          <w:sz w:val="20"/>
          <w:szCs w:val="20"/>
        </w:rPr>
        <w:t xml:space="preserve">A record of decisions, not an argument: each entry answers what, by whom, when, why, for which trials and current status (8.3). The consent revision passes the significance test because it changed what subjects are told (8.2). The IB change itself is in Section 4; the two entries cross-reference each other (Figure 8.1).</w:t>
      </w:r>
    </w:p>
  </w:comment>
  <w:comment w:id="14" w:author="Writing the DSUR (annotation)" w:date="2026-10-02T00:40:08Z" w:initials="WD">
    <w:p w14:paraId="47E3E4D0" w14:textId="77777777">
      <w:r>
        <w:rPr>
          <w:rStyle w:val="CommentReference"/>
        </w:rPr>
        <w:annotationRef/>
      </w:r>
      <w:r>
        <w:rPr>
          <w:color w:val="000000"/>
          <w:sz w:val="20"/>
          <w:szCs w:val="20"/>
        </w:rPr>
        <w:t xml:space="preserve">Model text from 8.3 (Case B), used verbatim. Late-development detail per Appendix A: the date ethics committee approval was obtained and how subjects were reconsented.</w:t>
      </w:r>
    </w:p>
  </w:comment>
  <w:comment w:id="15" w:author="Writing the DSUR (annotation)" w:date="2026-10-02T00:40:08Z" w:initials="WD">
    <w:p w14:paraId="75676D95" w14:textId="77777777">
      <w:r>
        <w:rPr>
          <w:rStyle w:val="CommentReference"/>
        </w:rPr>
        <w:annotationRef/>
      </w:r>
      <w:r>
        <w:rPr>
          <w:color w:val="000000"/>
          <w:sz w:val="20"/>
          <w:szCs w:val="20"/>
        </w:rPr>
        <w:t xml:space="preserve">Routine communications get one sentence describing the practice (8.8). DMC reviews that changed nothing fail the significance test, so they are mentioned only to point to Section 8.2; the post-DLP recommendation belongs to Section 17, not here (8.5).</w:t>
      </w:r>
    </w:p>
  </w:comment>
  <w:comment w:id="16" w:author="Writing the DSUR (annotation)" w:date="2026-10-02T00:40:08Z" w:initials="WD">
    <w:p w14:paraId="086E91C9" w14:textId="77777777">
      <w:r>
        <w:rPr>
          <w:rStyle w:val="CommentReference"/>
        </w:rPr>
        <w:annotationRef/>
      </w:r>
      <w:r>
        <w:rPr>
          <w:color w:val="000000"/>
          <w:sz w:val="20"/>
          <w:szCs w:val="20"/>
        </w:rPr>
        <w:t xml:space="preserve">Updates to earlier actions and the Appendix 2 pointer are stated even when there is nothing new; Appendix 2 is cumulative, so a request from 2021 still appears there with its status (8.4, 8.6).</w:t>
      </w:r>
    </w:p>
  </w:comment>
  <w:comment w:id="17" w:author="Writing the DSUR (annotation)" w:date="2026-10-02T00:40:08Z" w:initials="WD">
    <w:p w14:paraId="0217258F" w14:textId="77777777">
      <w:r>
        <w:rPr>
          <w:rStyle w:val="CommentReference"/>
        </w:rPr>
        <w:annotationRef/>
      </w:r>
      <w:r>
        <w:rPr>
          <w:color w:val="000000"/>
          <w:sz w:val="20"/>
          <w:szCs w:val="20"/>
        </w:rPr>
        <w:t xml:space="preserve">One short entry per significant change: what changed, on what evidence, where the data are discussed, and whether the edition is attached (Appendix A, Section 4, late development; 4.4). Editorial changes in Edition 6 are left out so they do not bury the safety change (4.10).</w:t>
      </w:r>
    </w:p>
  </w:comment>
  <w:comment w:id="18" w:author="Writing the DSUR (annotation)" w:date="2026-10-02T00:40:08Z" w:initials="WD">
    <w:p w14:paraId="125653B3" w14:textId="77777777">
      <w:r>
        <w:rPr>
          <w:rStyle w:val="CommentReference"/>
        </w:rPr>
        <w:annotationRef/>
      </w:r>
      <w:r>
        <w:rPr>
          <w:color w:val="000000"/>
          <w:sz w:val="20"/>
          <w:szCs w:val="20"/>
        </w:rPr>
        <w:t xml:space="preserve">Model text from 4.4, verbatim. A revision made during the period is a finding, not a new reference: Edition 6 is reported here but becomes the RSI only for DSUR 6. Expectedness in this report stays with Edition 5 (Section 7.1; 4.2, Figure 4.1).</w:t>
      </w:r>
    </w:p>
  </w:comment>
  <w:comment w:id="19" w:author="Writing the DSUR (annotation)" w:date="2026-10-02T00:40:08Z" w:initials="WD">
    <w:p w14:paraId="0EC8D656" w14:textId="77777777">
      <w:r>
        <w:rPr>
          <w:rStyle w:val="CommentReference"/>
        </w:rPr>
        <w:annotationRef/>
      </w:r>
      <w:r>
        <w:rPr>
          <w:color w:val="000000"/>
          <w:sz w:val="20"/>
          <w:szCs w:val="20"/>
        </w:rPr>
        <w:t xml:space="preserve">The format improvements (counts, denominator, fatal-outcome statement) are the features of a usable RSI section in 4.7; mentioned in one clause so a reader comparing editions understands the difference.</w:t>
      </w:r>
    </w:p>
  </w:comment>
  <w:comment w:id="20" w:author="Writing the DSUR (annotation)" w:date="2026-10-02T00:40:08Z" w:initials="WD">
    <w:p w14:paraId="585152D5" w14:textId="77777777">
      <w:r>
        <w:rPr>
          <w:rStyle w:val="CommentReference"/>
        </w:rPr>
        <w:annotationRef/>
      </w:r>
      <w:r>
        <w:rPr>
          <w:color w:val="000000"/>
          <w:sz w:val="20"/>
          <w:szCs w:val="20"/>
        </w:rPr>
        <w:t xml:space="preserve">Body is a brief overview; the full status list with every E2F §3.5 field is in Appendix 3 (Appendix A, Section 5). Status follows E2F's definition: completed only when the CSR is final (5.1).</w:t>
      </w:r>
    </w:p>
  </w:comment>
  <w:comment w:id="21" w:author="Writing the DSUR (annotation)" w:date="2026-10-02T00:40:08Z" w:initials="WD">
    <w:p w14:paraId="7795A5B6" w14:textId="77777777">
      <w:r>
        <w:rPr>
          <w:rStyle w:val="CommentReference"/>
        </w:rPr>
        <w:annotationRef/>
      </w:r>
      <w:r>
        <w:rPr>
          <w:color w:val="000000"/>
          <w:sz w:val="20"/>
          <w:szCs w:val="20"/>
        </w:rPr>
        <w:t xml:space="preserve">XB-201 appears only because its report was finalized during the period; next year it leaves the inventory but not the cumulative exposure. XB-302 is flagged as rolled-over subjects so nobody adds them to the parent totals (5.3).</w:t>
      </w:r>
    </w:p>
  </w:comment>
  <w:comment w:id="22" w:author="Writing the DSUR (annotation)" w:date="2026-10-02T00:40:08Z" w:initials="WD">
    <w:p w14:paraId="080DB3AD" w14:textId="77777777">
      <w:r>
        <w:rPr>
          <w:rStyle w:val="CommentReference"/>
        </w:rPr>
        <w:annotationRef/>
      </w:r>
      <w:r>
        <w:rPr>
          <w:color w:val="000000"/>
          <w:sz w:val="20"/>
          <w:szCs w:val="20"/>
        </w:rPr>
        <w:t xml:space="preserve">Section 6 is the denominator for every rate in Sections 18 and 19 and the Executive Summary (5.2). Built from the Section 5 trials and split the same way as the Appendix 6 tabulation (6.9).</w:t>
      </w:r>
    </w:p>
  </w:comment>
  <w:comment w:id="23" w:author="Writing the DSUR (annotation)" w:date="2026-10-02T00:40:08Z" w:initials="WD">
    <w:p w14:paraId="12AE7CEF" w14:textId="77777777">
      <w:r>
        <w:rPr>
          <w:rStyle w:val="CommentReference"/>
        </w:rPr>
        <w:annotationRef/>
      </w:r>
      <w:r>
        <w:rPr>
          <w:color w:val="000000"/>
          <w:sz w:val="20"/>
          <w:szCs w:val="20"/>
        </w:rPr>
        <w:t xml:space="preserve">The exposure sentence from 5.10, written once here and reused word for word elsewhere. 'Approximately' signals the estimate. Rounding is decided here once: subjects and subject-years to the nearest 10 (5.10). Key figures 380, 190 and 400 subject-years are tracked in the data workbook (Key figures sheet).</w:t>
      </w:r>
    </w:p>
  </w:comment>
  <w:comment w:id="24" w:author="Writing the DSUR (annotation)" w:date="2026-10-02T00:40:08Z" w:initials="WD">
    <w:p w14:paraId="4BF7D86B" w14:textId="77777777">
      <w:r>
        <w:rPr>
          <w:rStyle w:val="CommentReference"/>
        </w:rPr>
        <w:annotationRef/>
      </w:r>
      <w:r>
        <w:rPr>
          <w:color w:val="000000"/>
          <w:sz w:val="20"/>
          <w:szCs w:val="20"/>
        </w:rPr>
        <w:t xml:space="preserve">Table 6.1 from 5.4, verbatim: actual counts for the completed trial plus a randomization-ratio estimate for blinded XB-301, never 'blinded' in every cell (5.11). Each figure's source is flagged in the row label.</w:t>
      </w:r>
    </w:p>
  </w:comment>
  <w:comment w:id="25" w:author="Writing the DSUR (annotation)" w:date="2026-10-02T00:40:08Z" w:initials="WD">
    <w:p w14:paraId="3D0364D1" w14:textId="77777777">
      <w:r>
        <w:rPr>
          <w:rStyle w:val="CommentReference"/>
        </w:rPr>
        <w:annotationRef/>
      </w:r>
      <w:r>
        <w:rPr>
          <w:color w:val="000000"/>
          <w:sz w:val="20"/>
          <w:szCs w:val="20"/>
        </w:rPr>
        <w:t xml:space="preserve">Method paragraph from 5.4, verbatim, directly beneath the table: ratio, enrollment date, no unblinding, extension subjects counted once, and the limitation of the estimate (E2F §3.6.1).</w:t>
      </w:r>
    </w:p>
  </w:comment>
  <w:comment w:id="26" w:author="Writing the DSUR (annotation)" w:date="2026-10-02T00:40:08Z" w:initials="WD">
    <w:p w14:paraId="18201ACF" w14:textId="77777777">
      <w:r>
        <w:rPr>
          <w:rStyle w:val="CommentReference"/>
        </w:rPr>
        <w:annotationRef/>
      </w:r>
      <w:r>
        <w:rPr>
          <w:color w:val="000000"/>
          <w:sz w:val="20"/>
          <w:szCs w:val="20"/>
        </w:rPr>
        <w:t xml:space="preserve">Subject-time is needed because time on treatment differs widely between trials: XB-302 subjects have been treated longest (5.5). Columns match the Appendix 6 hybrid, so every column of the tabulation has a denominator (6.9). XB-201 figures (194, 104) come from its CSR and are not rounded.</w:t>
      </w:r>
    </w:p>
  </w:comment>
  <w:comment w:id="27" w:author="Writing the DSUR (annotation)" w:date="2026-10-02T00:40:08Z" w:initials="WD">
    <w:p w14:paraId="60991AD6" w14:textId="77777777">
      <w:r>
        <w:rPr>
          <w:rStyle w:val="CommentReference"/>
        </w:rPr>
        <w:annotationRef/>
      </w:r>
      <w:r>
        <w:rPr>
          <w:color w:val="000000"/>
          <w:sz w:val="20"/>
          <w:szCs w:val="20"/>
        </w:rPr>
        <w:t xml:space="preserve">Demographics go to Appendix 4 with the same age bands as the Section 18 analyses (5.7). The arithmetic check reviewers run, last year's total plus this year's enrollment, is answered before it is asked (Chapter 5, What reviewers look for).</w:t>
      </w:r>
    </w:p>
  </w:comment>
  <w:comment w:id="28" w:author="Writing the DSUR (annotation)" w:date="2026-10-02T00:40:08Z" w:initials="WD">
    <w:p w14:paraId="4D5C28CB" w14:textId="77777777">
      <w:r>
        <w:rPr>
          <w:rStyle w:val="CommentReference"/>
        </w:rPr>
        <w:annotationRef/>
      </w:r>
      <w:r>
        <w:rPr>
          <w:color w:val="000000"/>
          <w:sz w:val="20"/>
          <w:szCs w:val="20"/>
        </w:rPr>
        <w:t xml:space="preserve">Section 7 counts; it does not judge. No 'most frequent events' sentence appears here, because that would turn Section 18 into a repetition (6.6).</w:t>
      </w:r>
    </w:p>
  </w:comment>
  <w:comment w:id="29" w:author="Writing the DSUR (annotation)" w:date="2026-10-02T00:40:08Z" w:initials="WD">
    <w:p w14:paraId="2CBA4D71" w14:textId="77777777">
      <w:r>
        <w:rPr>
          <w:rStyle w:val="CommentReference"/>
        </w:rPr>
        <w:annotationRef/>
      </w:r>
      <w:r>
        <w:rPr>
          <w:color w:val="000000"/>
          <w:sz w:val="20"/>
          <w:szCs w:val="20"/>
        </w:rPr>
        <w:t xml:space="preserve">Model wording for 'IB revised during the period (Case B)' from 4.9, verbatim with the Edition 5 date filled in. It names document, section, edition, date and dictionary version, and explains the one unusual point so an inspector comparing the DSUR with the SUSARs sees the same story (4.4, 15 opening scenario).</w:t>
      </w:r>
    </w:p>
  </w:comment>
  <w:comment w:id="30" w:author="Writing the DSUR (annotation)" w:date="2026-10-02T00:40:08Z" w:initials="WD">
    <w:p w14:paraId="039A4794" w14:textId="77777777">
      <w:r>
        <w:rPr>
          <w:rStyle w:val="CommentReference"/>
        </w:rPr>
        <w:annotationRef/>
      </w:r>
      <w:r>
        <w:rPr>
          <w:color w:val="000000"/>
          <w:sz w:val="20"/>
          <w:szCs w:val="20"/>
        </w:rPr>
        <w:t xml:space="preserve">Case selection statement from 6.3, verbatim. 'Investigator or sponsor' matters: one listed pneumonia (301-0389) is there because the sponsor, not the investigator, assessed it as related, and the comments field says so.</w:t>
      </w:r>
    </w:p>
  </w:comment>
  <w:comment w:id="31" w:author="Writing the DSUR (annotation)" w:date="2026-10-02T00:40:08Z" w:initials="WD">
    <w:p w14:paraId="59EE7AA1" w14:textId="77777777">
      <w:r>
        <w:rPr>
          <w:rStyle w:val="CommentReference"/>
        </w:rPr>
        <w:annotationRef/>
      </w:r>
      <w:r>
        <w:rPr>
          <w:color w:val="000000"/>
          <w:sz w:val="20"/>
          <w:szCs w:val="20"/>
        </w:rPr>
        <w:t xml:space="preserve">The listing count is stated and reconciled with the 14 serious infections in Section 18.1 before anyone asks. This answers in advance the regulator question in Chapter 15, Exercise 2 (Appendix E): 11 SARs versus 14 SAEs because the listing counts reactions only.</w:t>
      </w:r>
    </w:p>
  </w:comment>
  <w:comment w:id="32" w:author="Writing the DSUR (annotation)" w:date="2026-10-02T00:40:08Z" w:initials="WD">
    <w:p w14:paraId="67C97D5E" w14:textId="77777777">
      <w:r>
        <w:rPr>
          <w:rStyle w:val="CommentReference"/>
        </w:rPr>
        <w:annotationRef/>
      </w:r>
      <w:r>
        <w:rPr>
          <w:color w:val="000000"/>
          <w:sz w:val="20"/>
          <w:szCs w:val="20"/>
        </w:rPr>
        <w:t xml:space="preserve">The hybrid split from 6.9: it keeps XB-201's randomized comparison visible and shows XB-302's older, longer-treated subjects separately, which Section 18 uses to explain part of the excess. The pooled table is provided as a second appendix table for readers who want it. Exposure is split the same way (Table 6-2).</w:t>
      </w:r>
    </w:p>
  </w:comment>
  <w:comment w:id="33" w:author="Writing the DSUR (annotation)" w:date="2026-10-02T00:40:08Z" w:initials="WD">
    <w:p w14:paraId="3DBA3A64" w14:textId="77777777">
      <w:r>
        <w:rPr>
          <w:rStyle w:val="CommentReference"/>
        </w:rPr>
        <w:annotationRef/>
      </w:r>
      <w:r>
        <w:rPr>
          <w:color w:val="000000"/>
          <w:sz w:val="20"/>
          <w:szCs w:val="20"/>
        </w:rPr>
        <w:t xml:space="preserve">Every exclusion is stated in the text and in a table footnote (6.4; Chapter 3 shell request: 'exclude disease-activity events defined as efficacy endpoints in XB-301'). The convention for the two unblinded cases keeps the cumulative split at 13 XB-7, 2 placebo and 16 blinded, matching Figure 13.1.</w:t>
      </w:r>
    </w:p>
  </w:comment>
  <w:comment w:id="34" w:author="Writing the DSUR (annotation)" w:date="2026-10-02T00:40:08Z" w:initials="WD">
    <w:p w14:paraId="6E0870A1" w14:textId="77777777">
      <w:r>
        <w:rPr>
          <w:rStyle w:val="CommentReference"/>
        </w:rPr>
        <w:annotationRef/>
      </w:r>
      <w:r>
        <w:rPr>
          <w:color w:val="000000"/>
          <w:sz w:val="20"/>
          <w:szCs w:val="20"/>
        </w:rPr>
        <w:t xml:space="preserve">Findings, not study summaries; each one classified before writing (Figure 9.1). The five subsections are all present; three have one-sentence 'nothing to report' statements (Appendix A, Section 8).</w:t>
      </w:r>
    </w:p>
  </w:comment>
  <w:comment w:id="35" w:author="Writing the DSUR (annotation)" w:date="2026-10-02T00:40:08Z" w:initials="WD">
    <w:p w14:paraId="5E1A1964" w14:textId="77777777">
      <w:r>
        <w:rPr>
          <w:rStyle w:val="CommentReference"/>
        </w:rPr>
        <w:annotationRef/>
      </w:r>
      <w:r>
        <w:rPr>
          <w:color w:val="000000"/>
          <w:sz w:val="20"/>
          <w:szCs w:val="20"/>
        </w:rPr>
        <w:t xml:space="preserve">The 'after' paragraph from 9.3, verbatim, with the appendix number filled in. Classified as confirmatory: it updates the numbers of a known risk without changing its character. Efficacy takes one sentence because the endpoint was met and supports the anticipated benefit in 18.2 (9.10). Design and disposition stay in the synopsis.</w:t>
      </w:r>
    </w:p>
  </w:comment>
  <w:comment w:id="36" w:author="Writing the DSUR (annotation)" w:date="2026-10-02T00:40:08Z" w:initials="WD">
    <w:p w14:paraId="078F91E9" w14:textId="77777777">
      <w:r>
        <w:rPr>
          <w:rStyle w:val="CommentReference"/>
        </w:rPr>
        <w:annotationRef/>
      </w:r>
      <w:r>
        <w:rPr>
          <w:color w:val="000000"/>
          <w:sz w:val="20"/>
          <w:szCs w:val="20"/>
        </w:rPr>
        <w:t xml:space="preserve">Model text from 9.4, verbatim. Reports only what the sponsor can know about a blinded trial (DMC outcomes, expedited unblinded cases) and resists the inference: cases unblinded because they were serious and unexpected are not a sample and cannot show an imbalance (9.4, 9.11; Appendix E, Chapter 9, Exercise 3).</w:t>
      </w:r>
    </w:p>
  </w:comment>
  <w:comment w:id="37" w:author="Writing the DSUR (annotation)" w:date="2026-10-02T00:40:08Z" w:initials="WD">
    <w:p w14:paraId="7AEC7494" w14:textId="77777777">
      <w:r>
        <w:rPr>
          <w:rStyle w:val="CommentReference"/>
        </w:rPr>
        <w:annotationRef/>
      </w:r>
      <w:r>
        <w:rPr>
          <w:color w:val="000000"/>
          <w:sz w:val="20"/>
          <w:szCs w:val="20"/>
        </w:rPr>
        <w:t xml:space="preserve">One or two sentences for the open-label extension: the facts and a pointer to where they are evaluated, nothing more (9.2, confirmatory).</w:t>
      </w:r>
    </w:p>
  </w:comment>
  <w:comment w:id="38" w:author="Writing the DSUR (annotation)" w:date="2026-10-02T00:40:08Z" w:initials="WD">
    <w:p w14:paraId="2292A359" w14:textId="77777777">
      <w:r>
        <w:rPr>
          <w:rStyle w:val="CommentReference"/>
        </w:rPr>
        <w:annotationRef/>
      </w:r>
      <w:r>
        <w:rPr>
          <w:color w:val="000000"/>
          <w:sz w:val="20"/>
          <w:szCs w:val="20"/>
        </w:rPr>
        <w:t xml:space="preserve">Empty subsections still say what was considered, using Appendix A's 'if nothing to report' wording, so no reader wonders whether anyone looked (7.4).</w:t>
      </w:r>
    </w:p>
  </w:comment>
  <w:comment w:id="39" w:author="Writing the DSUR (annotation)" w:date="2026-10-02T00:40:08Z" w:initials="WD">
    <w:p w14:paraId="272C7729" w14:textId="77777777">
      <w:r>
        <w:rPr>
          <w:rStyle w:val="CommentReference"/>
        </w:rPr>
        <w:annotationRef/>
      </w:r>
      <w:r>
        <w:rPr>
          <w:color w:val="000000"/>
          <w:sz w:val="20"/>
          <w:szCs w:val="20"/>
        </w:rPr>
        <w:t xml:space="preserve">Sections 9 to 15 show that the authors looked beyond their own trials. In a quiet year each uses the precise empty statement from Appendix A rather than 'Not applicable' (7.4, 7.9).</w:t>
      </w:r>
    </w:p>
  </w:comment>
  <w:comment w:id="40" w:author="Writing the DSUR (annotation)" w:date="2026-10-02T00:40:08Z" w:initials="WD">
    <w:p w14:paraId="08510F3C" w14:textId="77777777">
      <w:r>
        <w:rPr>
          <w:rStyle w:val="CommentReference"/>
        </w:rPr>
        <w:annotationRef/>
      </w:r>
      <w:r>
        <w:rPr>
          <w:color w:val="000000"/>
          <w:sz w:val="20"/>
          <w:szCs w:val="20"/>
        </w:rPr>
        <w:t xml:space="preserve">Opens with its point, not with a description of the studies (13.6); ongoing studies are listed (Appendix A, Section 12). Section 18.1 then needs only one line for this point (10.9).</w:t>
      </w:r>
    </w:p>
  </w:comment>
  <w:comment w:id="41" w:author="Writing the DSUR (annotation)" w:date="2026-10-02T00:40:08Z" w:initials="WD">
    <w:p w14:paraId="50734429" w14:textId="77777777">
      <w:r>
        <w:rPr>
          <w:rStyle w:val="CommentReference"/>
        </w:rPr>
        <w:annotationRef/>
      </w:r>
      <w:r>
        <w:rPr>
          <w:color w:val="000000"/>
          <w:sz w:val="20"/>
          <w:szCs w:val="20"/>
        </w:rPr>
        <w:t xml:space="preserve">A dated search a reader can judge: databases, substance and class terms, safety topics under evaluation, dates matching the period, and the yield (7.6). A class search is run even when nothing is found, because class effects are an E2F point to consider (10.1).</w:t>
      </w:r>
    </w:p>
  </w:comment>
  <w:comment w:id="42" w:author="Writing the DSUR (annotation)" w:date="2026-10-02T00:40:08Z" w:initials="WD">
    <w:p w14:paraId="15C6917B" w14:textId="77777777">
      <w:r>
        <w:rPr>
          <w:rStyle w:val="CommentReference"/>
        </w:rPr>
        <w:annotationRef/>
      </w:r>
      <w:r>
        <w:rPr>
          <w:color w:val="000000"/>
          <w:sz w:val="20"/>
          <w:szCs w:val="20"/>
        </w:rPr>
        <w:t xml:space="preserve">Section 15 is a safety section: it asks whether lack of efficacy puts subjects at risk, not whether endpoints were met (7.3). The first 'nothing to report' sentence is used rather than declaring the disease non-serious.</w:t>
      </w:r>
    </w:p>
  </w:comment>
  <w:comment w:id="43" w:author="Writing the DSUR (annotation)" w:date="2026-10-02T00:40:08Z" w:initials="WD">
    <w:p w14:paraId="1D687DC2" w14:textId="77777777">
      <w:r>
        <w:rPr>
          <w:rStyle w:val="CommentReference"/>
        </w:rPr>
        <w:annotationRef/>
      </w:r>
      <w:r>
        <w:rPr>
          <w:color w:val="000000"/>
          <w:sz w:val="20"/>
          <w:szCs w:val="20"/>
        </w:rPr>
        <w:t xml:space="preserve">Pointer sentence plus a list of regional appendices; regional material adds data but never changes Sections 18 or 19 (14.1, 14.2). The UK appendix follows the content MHRA recommends (Appendix E, Chapter 14, Exercise 3), as decided at kickoff (3.5).</w:t>
      </w:r>
    </w:p>
  </w:comment>
  <w:comment w:id="44" w:author="Writing the DSUR (annotation)" w:date="2026-10-02T00:40:08Z" w:initials="WD">
    <w:p w14:paraId="73D39795" w14:textId="77777777">
      <w:r>
        <w:rPr>
          <w:rStyle w:val="CommentReference"/>
        </w:rPr>
        <w:annotationRef/>
      </w:r>
      <w:r>
        <w:rPr>
          <w:color w:val="000000"/>
          <w:sz w:val="20"/>
          <w:szCs w:val="20"/>
        </w:rPr>
        <w:t xml:space="preserve">The DMC review was pre-assigned to Section 17 at kickoff, with an owner, because its date fell after the DLP (3.5). It clears the bar as a new safety action by a DMC (8.5) and is carried into Sections 18.1, 19 and 20.</w:t>
      </w:r>
    </w:p>
  </w:comment>
  <w:comment w:id="45" w:author="Writing the DSUR (annotation)" w:date="2026-10-02T00:40:08Z" w:initials="WD">
    <w:p w14:paraId="60C82475" w14:textId="77777777">
      <w:r>
        <w:rPr>
          <w:rStyle w:val="CommentReference"/>
        </w:rPr>
        <w:annotationRef/>
      </w:r>
      <w:r>
        <w:rPr>
          <w:color w:val="000000"/>
          <w:sz w:val="20"/>
          <w:szCs w:val="20"/>
        </w:rPr>
        <w:t xml:space="preserve">Model text from 8.5, verbatim. The recommendation is given in full, with both subgroups, so that the Executive Summary and Section 20 can quote it accurately (Appendix A, Section 17).</w:t>
      </w:r>
    </w:p>
  </w:comment>
  <w:comment w:id="46" w:author="Writing the DSUR (annotation)" w:date="2026-10-02T00:40:08Z" w:initials="WD">
    <w:p w14:paraId="07EE25CC" w14:textId="77777777">
      <w:r>
        <w:rPr>
          <w:rStyle w:val="CommentReference"/>
        </w:rPr>
        <w:annotationRef/>
      </w:r>
      <w:r>
        <w:rPr>
          <w:color w:val="000000"/>
          <w:sz w:val="20"/>
          <w:szCs w:val="20"/>
        </w:rPr>
        <w:t xml:space="preserve">Order of the section (10.7): overall conclusion first; important risks with new information in Section 19 order; other points considered in a table; then the four-element benefit-risk statement. No paragraph repeats Sections 2 to 17; each interprets them.</w:t>
      </w:r>
    </w:p>
  </w:comment>
  <w:comment w:id="47" w:author="Writing the DSUR (annotation)" w:date="2026-10-02T00:40:08Z" w:initials="WD">
    <w:p w14:paraId="58140C4C" w14:textId="77777777">
      <w:r>
        <w:rPr>
          <w:rStyle w:val="CommentReference"/>
        </w:rPr>
        <w:annotationRef/>
      </w:r>
      <w:r>
        <w:rPr>
          <w:color w:val="000000"/>
          <w:sz w:val="20"/>
          <w:szCs w:val="20"/>
        </w:rPr>
        <w:t xml:space="preserve">An opening sentence giving the overall conclusion, so the reader knows where the section is going (10.7). 'No new important risk' is a conclusion with its evidence below, not a substitute for it (10.8).</w:t>
      </w:r>
    </w:p>
  </w:comment>
  <w:comment w:id="48" w:author="Writing the DSUR (annotation)" w:date="2026-10-02T00:40:08Z" w:initials="WD">
    <w:p w14:paraId="74B8A7C3" w14:textId="77777777">
      <w:r>
        <w:rPr>
          <w:rStyle w:val="CommentReference"/>
        </w:rPr>
        <w:annotationRef/>
      </w:r>
      <w:r>
        <w:rPr>
          <w:color w:val="000000"/>
          <w:sz w:val="20"/>
          <w:szCs w:val="20"/>
        </w:rPr>
        <w:t xml:space="preserve">The 'after' paragraph of Figure 10.2, verbatim: the five steps (10.2) condensed. Observed: 14 events with the 400 subject-year denominator from Section 6.1 (5.10). Compared: XB-201 rates and the 2.7 expected. Explained: XB-302 population, corticosteroids, unchanged spectrum. Implication for current subjects. Act: IB, consent, DMC monitoring, Section 19.</w:t>
      </w:r>
    </w:p>
  </w:comment>
  <w:comment w:id="49" w:author="Writing the DSUR (annotation)" w:date="2026-10-02T00:40:08Z" w:initials="WD">
    <w:p w14:paraId="31C3D0EF" w14:textId="77777777">
      <w:r>
        <w:rPr>
          <w:rStyle w:val="CommentReference"/>
        </w:rPr>
        <w:annotationRef/>
      </w:r>
      <w:r>
        <w:rPr>
          <w:color w:val="000000"/>
          <w:sz w:val="20"/>
          <w:szCs w:val="20"/>
        </w:rPr>
        <w:t xml:space="preserve">Two additions the book asks for: the one sentence the head of safety requested in 17.8 (Question, Section 18.1), and the report on last year's commitment, which DSUR 5 must fulfil rather than repeat (1.8 worked example).</w:t>
      </w:r>
    </w:p>
  </w:comment>
  <w:comment w:id="50" w:author="Writing the DSUR (annotation)" w:date="2026-10-02T00:40:08Z" w:initials="WD">
    <w:p w14:paraId="13636747" w14:textId="77777777">
      <w:r>
        <w:rPr>
          <w:rStyle w:val="CommentReference"/>
        </w:rPr>
        <w:annotationRef/>
      </w:r>
      <w:r>
        <w:rPr>
          <w:color w:val="000000"/>
          <w:sz w:val="20"/>
          <w:szCs w:val="20"/>
        </w:rPr>
        <w:t xml:space="preserve">Observed step for interval and cumulative, with the 11-versus-14 difference explained once, so the listing count and the text cannot appear to disagree (Appendix E, Chapter 15, Exercise 2). Cumulative figure 31 from the tabulation; QC caught an earlier '30' in a draft summary (15.4).</w:t>
      </w:r>
    </w:p>
  </w:comment>
  <w:comment w:id="51" w:author="Writing the DSUR (annotation)" w:date="2026-10-02T00:40:08Z" w:initials="WD">
    <w:p w14:paraId="2643F734" w14:textId="77777777">
      <w:r>
        <w:rPr>
          <w:rStyle w:val="CommentReference"/>
        </w:rPr>
        <w:annotationRef/>
      </w:r>
      <w:r>
        <w:rPr>
          <w:color w:val="000000"/>
          <w:sz w:val="20"/>
          <w:szCs w:val="20"/>
        </w:rPr>
        <w:t xml:space="preserve">A table that argues: its title states the point, columns follow the comparison the text makes, rates not counts, few rows (13.4). Model table from Appendix E, Chapter 13, Exercise 2.</w:t>
      </w:r>
    </w:p>
  </w:comment>
  <w:comment w:id="52" w:author="Writing the DSUR (annotation)" w:date="2026-10-02T00:40:08Z" w:initials="WD">
    <w:p w14:paraId="4748B7AF" w14:textId="77777777">
      <w:r>
        <w:rPr>
          <w:rStyle w:val="CommentReference"/>
        </w:rPr>
        <w:annotationRef/>
      </w:r>
      <w:r>
        <w:rPr>
          <w:color w:val="000000"/>
          <w:sz w:val="20"/>
          <w:szCs w:val="20"/>
        </w:rPr>
        <w:t xml:space="preserve">Figure 10.3 as a chart: rates by source with exact 95% confidence intervals, the expected rate as a reference line, denominators on the figure, axis from zero, readable in black and white (13.10). It sits next to the paragraph it supports.</w:t>
      </w:r>
    </w:p>
  </w:comment>
  <w:comment w:id="53" w:author="Writing the DSUR (annotation)" w:date="2026-10-02T00:40:08Z" w:initials="WD">
    <w:p w14:paraId="3700CC1C" w14:textId="77777777">
      <w:r>
        <w:rPr>
          <w:rStyle w:val="CommentReference"/>
        </w:rPr>
        <w:annotationRef/>
      </w:r>
      <w:r>
        <w:rPr>
          <w:color w:val="000000"/>
          <w:sz w:val="20"/>
          <w:szCs w:val="20"/>
        </w:rPr>
        <w:t xml:space="preserve">An important risk with little new information gets a short entry, in Section 19 order, ending in 'consistent in frequency and nature with previous experience', the calibrated phrase from 10.8. The XB-302 discontinuation matches the other-points table below.</w:t>
      </w:r>
    </w:p>
  </w:comment>
  <w:comment w:id="54" w:author="Writing the DSUR (annotation)" w:date="2026-10-02T00:40:08Z" w:initials="WD">
    <w:p w14:paraId="5D5C68BA" w14:textId="77777777">
      <w:r>
        <w:rPr>
          <w:rStyle w:val="CommentReference"/>
        </w:rPr>
        <w:annotationRef/>
      </w:r>
      <w:r>
        <w:rPr>
          <w:color w:val="000000"/>
          <w:sz w:val="20"/>
          <w:szCs w:val="20"/>
        </w:rPr>
        <w:t xml:space="preserve">The remaining E2F points to consider in a table, verbatim from 10.9. Each row takes a line and each conclusion rests on something the reader can see; 'No conclusion possible' is a legitimate entry.</w:t>
      </w:r>
    </w:p>
  </w:comment>
  <w:comment w:id="55" w:author="Writing the DSUR (annotation)" w:date="2026-10-02T00:40:08Z" w:initials="WD">
    <w:p w14:paraId="25664315" w14:textId="77777777">
      <w:r>
        <w:rPr>
          <w:rStyle w:val="CommentReference"/>
        </w:rPr>
        <w:annotationRef/>
      </w:r>
      <w:r>
        <w:rPr>
          <w:color w:val="000000"/>
          <w:sz w:val="20"/>
          <w:szCs w:val="20"/>
        </w:rPr>
        <w:t xml:space="preserve">'No new safety concern' appears only here, at the end of the argument and beside its evidence, which is where 10.9 says it belongs.</w:t>
      </w:r>
    </w:p>
  </w:comment>
  <w:comment w:id="56" w:author="Writing the DSUR (annotation)" w:date="2026-10-02T00:40:09Z" w:initials="WD">
    <w:p w14:paraId="15AE5DFD" w14:textId="77777777">
      <w:r>
        <w:rPr>
          <w:rStyle w:val="CommentReference"/>
        </w:rPr>
        <w:annotationRef/>
      </w:r>
      <w:r>
        <w:rPr>
          <w:color w:val="000000"/>
          <w:sz w:val="20"/>
          <w:szCs w:val="20"/>
        </w:rPr>
        <w:t xml:space="preserve">Figure 12.1, verbatim: the four elements (anticipated benefit with its evidence; risks named, not described again; how they are controlled; change since the previous DSUR). The benefit is 'anticipated', not established; describing it as established is a major QC finding (Appendix E, Chapter 15).</w:t>
      </w:r>
    </w:p>
  </w:comment>
  <w:comment w:id="57" w:author="Writing the DSUR (annotation)" w:date="2026-10-02T00:40:09Z" w:initials="WD">
    <w:p w14:paraId="345F319A" w14:textId="77777777">
      <w:r>
        <w:rPr>
          <w:rStyle w:val="CommentReference"/>
        </w:rPr>
        <w:annotationRef/>
      </w:r>
      <w:r>
        <w:rPr>
          <w:color w:val="000000"/>
          <w:sz w:val="20"/>
          <w:szCs w:val="20"/>
        </w:rPr>
        <w:t xml:space="preserve">Cumulative, re-evaluated every year, new information marked with an asterisk as in E2F Appendix C (11.1). Late development: rates by arm, types of infection, risk factors and monitoring replace case narratives (11.5).</w:t>
      </w:r>
    </w:p>
  </w:comment>
  <w:comment w:id="58" w:author="Writing the DSUR (annotation)" w:date="2026-10-02T00:40:09Z" w:initials="WD">
    <w:p w14:paraId="326C3921" w14:textId="77777777">
      <w:r>
        <w:rPr>
          <w:rStyle w:val="CommentReference"/>
        </w:rPr>
        <w:annotationRef/>
      </w:r>
      <w:r>
        <w:rPr>
          <w:color w:val="000000"/>
          <w:sz w:val="20"/>
          <w:szCs w:val="20"/>
        </w:rPr>
        <w:t xml:space="preserve">The four-column format of 11.6. The serious infections row is the book's model row, verbatim; the measures column is what protects trial subjects, and it matches the protocols, the consent forms and the planned amendment (11.7).</w:t>
      </w:r>
    </w:p>
  </w:comment>
  <w:comment w:id="59" w:author="Writing the DSUR (annotation)" w:date="2026-10-02T00:40:09Z" w:initials="WD">
    <w:p w14:paraId="17339D79" w14:textId="77777777">
      <w:r>
        <w:rPr>
          <w:rStyle w:val="CommentReference"/>
        </w:rPr>
        <w:annotationRef/>
      </w:r>
      <w:r>
        <w:rPr>
          <w:color w:val="000000"/>
          <w:sz w:val="20"/>
          <w:szCs w:val="20"/>
        </w:rPr>
        <w:t xml:space="preserve">The decision recorded in 11.8 (sepsis kept within serious infections) and the 10.9 conclusion on hypersensitivity, stated so that neither looks like an omission. The decision records sit in the risk register (data workbook, Risks sheet).</w:t>
      </w:r>
    </w:p>
  </w:comment>
  <w:comment w:id="60" w:author="Writing the DSUR (annotation)" w:date="2026-10-02T00:40:09Z" w:initials="WD">
    <w:p w14:paraId="7D193F6D" w14:textId="77777777">
      <w:r>
        <w:rPr>
          <w:rStyle w:val="CommentReference"/>
        </w:rPr>
        <w:annotationRef/>
      </w:r>
      <w:r>
        <w:rPr>
          <w:color w:val="000000"/>
          <w:sz w:val="20"/>
          <w:szCs w:val="20"/>
        </w:rPr>
        <w:t xml:space="preserve">Nothing leaves Section 19 silently, and the alignment check against the IB, protocols and consent forms is stated (11.7, 11.11).</w:t>
      </w:r>
    </w:p>
  </w:comment>
  <w:comment w:id="61" w:author="Writing the DSUR (annotation)" w:date="2026-10-02T00:40:09Z" w:initials="WD">
    <w:p w14:paraId="740114AB" w14:textId="77777777">
      <w:r>
        <w:rPr>
          <w:rStyle w:val="CommentReference"/>
        </w:rPr>
        <w:annotationRef/>
      </w:r>
      <w:r>
        <w:rPr>
          <w:color w:val="000000"/>
          <w:sz w:val="20"/>
          <w:szCs w:val="20"/>
        </w:rPr>
        <w:t xml:space="preserve">Under a page, in the order Appendix A gives: changes in knowledge; last year's commitments; actions taken; checkable planned actions; consequence for the trials. Nothing appears here that is not in Sections 18 and 19 (12.3).</w:t>
      </w:r>
    </w:p>
  </w:comment>
  <w:comment w:id="62" w:author="Writing the DSUR (annotation)" w:date="2026-10-02T00:40:09Z" w:initials="WD">
    <w:p w14:paraId="04E8139E" w14:textId="77777777">
      <w:r>
        <w:rPr>
          <w:rStyle w:val="CommentReference"/>
        </w:rPr>
        <w:annotationRef/>
      </w:r>
      <w:r>
        <w:rPr>
          <w:color w:val="000000"/>
          <w:sz w:val="20"/>
          <w:szCs w:val="20"/>
        </w:rPr>
        <w:t xml:space="preserve">The same terms as Sections 18 and 19 ('important identified risk', 'serious infections'), so the three passages tell one story (12.5).</w:t>
      </w:r>
    </w:p>
  </w:comment>
  <w:comment w:id="63" w:author="Writing the DSUR (annotation)" w:date="2026-10-02T00:40:09Z" w:initials="WD">
    <w:p w14:paraId="730F9F04" w14:textId="77777777">
      <w:r>
        <w:rPr>
          <w:rStyle w:val="CommentReference"/>
        </w:rPr>
        <w:annotationRef/>
      </w:r>
      <w:r>
        <w:rPr>
          <w:color w:val="000000"/>
          <w:sz w:val="20"/>
          <w:szCs w:val="20"/>
        </w:rPr>
        <w:t xml:space="preserve">Each of last year's commitments is reported as done, in progress or dropped; a commitment never mentioned again is easy for a regulator to spot (12.7).</w:t>
      </w:r>
    </w:p>
  </w:comment>
  <w:comment w:id="64" w:author="Writing the DSUR (annotation)" w:date="2026-10-02T00:40:09Z" w:initials="WD">
    <w:p w14:paraId="2A13D8A4" w14:textId="77777777">
      <w:r>
        <w:rPr>
          <w:rStyle w:val="CommentReference"/>
        </w:rPr>
        <w:annotationRef/>
      </w:r>
      <w:r>
        <w:rPr>
          <w:color w:val="000000"/>
          <w:sz w:val="20"/>
          <w:szCs w:val="20"/>
        </w:rPr>
        <w:t xml:space="preserve">The corrected Section 20 from 15.4, verbatim. The draft said 'No changes to the development program are required' while Section 18.1 described the accepted DMC recommendation: a critical logic finding at QC.</w:t>
      </w:r>
    </w:p>
  </w:comment>
  <w:comment w:id="65" w:author="Writing the DSUR (annotation)" w:date="2026-10-02T00:40:09Z" w:initials="WD">
    <w:p w14:paraId="789F332B" w14:textId="77777777">
      <w:r>
        <w:rPr>
          <w:rStyle w:val="CommentReference"/>
        </w:rPr>
        <w:annotationRef/>
      </w:r>
      <w:r>
        <w:rPr>
          <w:color w:val="000000"/>
          <w:sz w:val="20"/>
          <w:szCs w:val="20"/>
        </w:rPr>
        <w:t xml:space="preserve">Checkable actions: what, in which trial, by when, and where the result will be reported (12.7). The expected date answers the head of safety's preference comment in 17.8.</w:t>
      </w:r>
    </w:p>
  </w:comment>
  <w:comment w:id="66" w:author="Writing the DSUR (annotation)" w:date="2026-10-02T00:40:09Z" w:initials="WD">
    <w:p w14:paraId="1DA070F0" w14:textId="77777777">
      <w:r>
        <w:rPr>
          <w:rStyle w:val="CommentReference"/>
        </w:rPr>
        <w:annotationRef/>
      </w:r>
      <w:r>
        <w:rPr>
          <w:color w:val="000000"/>
          <w:sz w:val="20"/>
          <w:szCs w:val="20"/>
        </w:rPr>
        <w:t xml:space="preserve">E2F's seven appendices in E2F numbering (Appendix A, Appendices), then the regional appendices. They hold what the body cites but should not carry, and carry no analysis (13.6).</w:t>
      </w:r>
    </w:p>
  </w:comment>
  <w:comment w:id="67" w:author="Writing the DSUR (annotation)" w:date="2026-10-02T00:40:09Z" w:initials="WD">
    <w:p w14:paraId="480E35A8" w14:textId="77777777">
      <w:r>
        <w:rPr>
          <w:rStyle w:val="CommentReference"/>
        </w:rPr>
        <w:annotationRef/>
      </w:r>
      <w:r>
        <w:rPr>
          <w:color w:val="000000"/>
          <w:sz w:val="20"/>
          <w:szCs w:val="20"/>
        </w:rPr>
        <w:t xml:space="preserve">A revised IB is attached only if it has not already been submitted (E2F §2.6; 4.1). Edition 5's RSI is reproduced for the UK appendix MHRA recommends (4.3).</w:t>
      </w:r>
    </w:p>
  </w:comment>
  <w:comment w:id="68" w:author="Writing the DSUR (annotation)" w:date="2026-10-02T00:40:09Z" w:initials="WD">
    <w:p w14:paraId="65476F97" w14:textId="77777777">
      <w:r>
        <w:rPr>
          <w:rStyle w:val="CommentReference"/>
        </w:rPr>
        <w:annotationRef/>
      </w:r>
      <w:r>
        <w:rPr>
          <w:color w:val="000000"/>
          <w:sz w:val="20"/>
          <w:szCs w:val="20"/>
        </w:rPr>
        <w:t xml:space="preserve">Cumulative, with closed requests kept and their resolution shown (8.4). XB-7's one request concerns tuberculosis screening, which reappears as a measure in Section 19.</w:t>
      </w:r>
    </w:p>
  </w:comment>
  <w:comment w:id="69" w:author="Writing the DSUR (annotation)" w:date="2026-10-02T00:40:09Z" w:initials="WD">
    <w:p w14:paraId="37E7EE71" w14:textId="77777777">
      <w:r>
        <w:rPr>
          <w:rStyle w:val="CommentReference"/>
        </w:rPr>
        <w:annotationRef/>
      </w:r>
      <w:r>
        <w:rPr>
          <w:color w:val="000000"/>
          <w:sz w:val="20"/>
          <w:szCs w:val="20"/>
        </w:rPr>
        <w:t xml:space="preserve">Every field E2F §3.5 asks for, presented with trials as columns so it fits a portrait page. Estimated exposure per arm is actual for completed or open trials and from the randomization scheme for blinded XB-301 (Appendix A, Section 5).</w:t>
      </w:r>
    </w:p>
  </w:comment>
  <w:comment w:id="70" w:author="Writing the DSUR (annotation)" w:date="2026-10-02T00:40:09Z" w:initials="WD">
    <w:p w14:paraId="33C2ED48" w14:textId="77777777">
      <w:r>
        <w:rPr>
          <w:rStyle w:val="CommentReference"/>
        </w:rPr>
        <w:annotationRef/>
      </w:r>
      <w:r>
        <w:rPr>
          <w:color w:val="000000"/>
          <w:sz w:val="20"/>
          <w:szCs w:val="20"/>
        </w:rPr>
        <w:t xml:space="preserve">The synopsis is where design, disposition and secondary findings go, so that Section 8.1 can stay a paragraph of findings (9.3, 13.6).</w:t>
      </w:r>
    </w:p>
  </w:comment>
  <w:comment w:id="71" w:author="Writing the DSUR (annotation)" w:date="2026-10-02T00:40:09Z" w:initials="WD">
    <w:p w14:paraId="1472650D" w14:textId="77777777">
      <w:r>
        <w:rPr>
          <w:rStyle w:val="CommentReference"/>
        </w:rPr>
        <w:annotationRef/>
      </w:r>
      <w:r>
        <w:rPr>
          <w:color w:val="000000"/>
          <w:sz w:val="20"/>
          <w:szCs w:val="20"/>
        </w:rPr>
        <w:t xml:space="preserve">Same age bands as the serious infection analyses in Section 18.1, including 75 and older, the DMC's subgroup (5.7). XB-301 rows are estimated with the 2:1 ratio, flagged in the footnote; totals reproduce 380 and 190 exactly.</w:t>
      </w:r>
    </w:p>
  </w:comment>
  <w:comment w:id="72" w:author="Writing the DSUR (annotation)" w:date="2026-10-02T00:40:09Z" w:initials="WD">
    <w:p w14:paraId="0A38DE20" w14:textId="77777777">
      <w:r>
        <w:rPr>
          <w:rStyle w:val="CommentReference"/>
        </w:rPr>
        <w:annotationRef/>
      </w:r>
      <w:r>
        <w:rPr>
          <w:color w:val="000000"/>
          <w:sz w:val="20"/>
          <w:szCs w:val="20"/>
        </w:rPr>
        <w:t xml:space="preserve">A separate demographics table for the pivotal trial, which regulators later compare with the marketing application population (5.7). The baseline corticosteroid figure supports the subgroup discussion in Section 18.1.</w:t>
      </w:r>
    </w:p>
  </w:comment>
  <w:comment w:id="73" w:author="Writing the DSUR (annotation)" w:date="2026-10-02T00:40:09Z" w:initials="WD">
    <w:p w14:paraId="713D28B9" w14:textId="77777777">
      <w:r>
        <w:rPr>
          <w:rStyle w:val="CommentReference"/>
        </w:rPr>
        <w:annotationRef/>
      </w:r>
      <w:r>
        <w:rPr>
          <w:color w:val="000000"/>
          <w:sz w:val="20"/>
          <w:szCs w:val="20"/>
        </w:rPr>
        <w:t xml:space="preserve">E2F §3.7.2 fields in the Figure 6.2 order. Rules applied (6.3): one subject, one row, under the most serious reaction (301-0044, pneumonia and sepsis, listed once under sepsis); 'blinded' unless the blind was broken; Preferred Terms, not verbatim terms; the comments field carries sponsor causality where it differs, suspect co-medication and treatment action.</w:t>
      </w:r>
    </w:p>
  </w:comment>
  <w:comment w:id="74" w:author="Writing the DSUR (annotation)" w:date="2026-10-02T00:40:09Z" w:initials="WD">
    <w:p w14:paraId="4FD4BEC0" w14:textId="77777777">
      <w:r>
        <w:rPr>
          <w:rStyle w:val="CommentReference"/>
        </w:rPr>
        <w:annotationRef/>
      </w:r>
      <w:r>
        <w:rPr>
          <w:color w:val="000000"/>
          <w:sz w:val="20"/>
          <w:szCs w:val="20"/>
        </w:rPr>
        <w:t xml:space="preserve">All SAEs, not only reactions, cumulatively since the DIBD, with a blinded column, seriousness-defining terms only, every exclusion footnoted (6.1, 6.4, 6.8). The hybrid columns of 6.9; only SOCs and PTs with at least one event are shown. Infections: XB-7 6 + 7 = 13, placebo 2, blinded 16, total 31 (Figure 13.1).</w:t>
      </w:r>
    </w:p>
  </w:comment>
  <w:comment w:id="75" w:author="Writing the DSUR (annotation)" w:date="2026-10-02T00:40:09Z" w:initials="WD">
    <w:p w14:paraId="7F791D14" w14:textId="77777777">
      <w:r>
        <w:rPr>
          <w:rStyle w:val="CommentReference"/>
        </w:rPr>
        <w:annotationRef/>
      </w:r>
      <w:r>
        <w:rPr>
          <w:color w:val="000000"/>
          <w:sz w:val="20"/>
          <w:szCs w:val="20"/>
        </w:rPr>
        <w:t xml:space="preserve">E2F lists Appendix 7 'if relevant'; the heading stays and says why it is empty, rather than disappearing (7.4).</w:t>
      </w:r>
    </w:p>
  </w:comment>
  <w:comment w:id="76" w:author="Writing the DSUR (annotation)" w:date="2026-10-02T00:40:09Z" w:initials="WD">
    <w:p w14:paraId="3A9ED7CE" w14:textId="77777777">
      <w:r>
        <w:rPr>
          <w:rStyle w:val="CommentReference"/>
        </w:rPr>
        <w:annotationRef/>
      </w:r>
      <w:r>
        <w:rPr>
          <w:color w:val="000000"/>
          <w:sz w:val="20"/>
          <w:szCs w:val="20"/>
        </w:rPr>
        <w:t xml:space="preserve">Expectedness is assessed against IB Edition 5, so both period sepsis cases appear as unexpected, matching how they were expedited. In Chapter 15's inspection scenario, an early draft run against Edition 6 had shown sepsis as expected; the QC log entry of 24 September 2026 records the rerun (15 opening scenario; 4.4).</w:t>
      </w:r>
    </w:p>
  </w:comment>
  <w:comment w:id="77" w:author="Writing the DSUR (annotation)" w:date="2026-10-02T00:40:09Z" w:initials="WD">
    <w:p w14:paraId="5FCDC6AF" w14:textId="77777777">
      <w:r>
        <w:rPr>
          <w:rStyle w:val="CommentReference"/>
        </w:rPr>
        <w:annotationRef/>
      </w:r>
      <w:r>
        <w:rPr>
          <w:color w:val="000000"/>
          <w:sz w:val="20"/>
          <w:szCs w:val="20"/>
        </w:rPr>
        <w:t xml:space="preserve">MHRA recommends the RSI in effect at the start of the period, the latest IB, a description of the surveillance process and a signal outcome table (Appendix E, Chapter 14, Exercise 3). Edition 5 is reproduced as it stood, without counts; Edition 6 is the 'usable RSI section' of 4.7.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08BB5C" w15:done="0"/>
  <w15:commentEx w15:paraId="0834A2C8" w15:done="0"/>
  <w15:commentEx w15:paraId="3A138E52" w15:done="0"/>
  <w15:commentEx w15:paraId="3C93A93B" w15:done="0"/>
  <w15:commentEx w15:paraId="168CC577" w15:done="0"/>
  <w15:commentEx w15:paraId="10991CF4" w15:done="0"/>
  <w15:commentEx w15:paraId="4E41DBE6" w15:done="0"/>
  <w15:commentEx w15:paraId="39522C45" w15:done="0"/>
  <w15:commentEx w15:paraId="028603F9" w15:done="0"/>
  <w15:commentEx w15:paraId="033E7D8F" w15:done="0"/>
  <w15:commentEx w15:paraId="24CA5EDA" w15:done="0"/>
  <w15:commentEx w15:paraId="1CED5602" w15:done="0"/>
  <w15:commentEx w15:paraId="3F2087AB" w15:done="0"/>
  <w15:commentEx w15:paraId="0743B771" w15:done="0"/>
  <w15:commentEx w15:paraId="47E3E4D0" w15:done="0"/>
  <w15:commentEx w15:paraId="75676D95" w15:done="0"/>
  <w15:commentEx w15:paraId="086E91C9" w15:done="0"/>
  <w15:commentEx w15:paraId="0217258F" w15:done="0"/>
  <w15:commentEx w15:paraId="125653B3" w15:done="0"/>
  <w15:commentEx w15:paraId="0EC8D656" w15:done="0"/>
  <w15:commentEx w15:paraId="585152D5" w15:done="0"/>
  <w15:commentEx w15:paraId="7795A5B6" w15:done="0"/>
  <w15:commentEx w15:paraId="080DB3AD" w15:done="0"/>
  <w15:commentEx w15:paraId="12AE7CEF" w15:done="0"/>
  <w15:commentEx w15:paraId="4BF7D86B" w15:done="0"/>
  <w15:commentEx w15:paraId="3D0364D1" w15:done="0"/>
  <w15:commentEx w15:paraId="18201ACF" w15:done="0"/>
  <w15:commentEx w15:paraId="60991AD6" w15:done="0"/>
  <w15:commentEx w15:paraId="4D5C28CB" w15:done="0"/>
  <w15:commentEx w15:paraId="2CBA4D71" w15:done="0"/>
  <w15:commentEx w15:paraId="039A4794" w15:done="0"/>
  <w15:commentEx w15:paraId="59EE7AA1" w15:done="0"/>
  <w15:commentEx w15:paraId="67C97D5E" w15:done="0"/>
  <w15:commentEx w15:paraId="3DBA3A64" w15:done="0"/>
  <w15:commentEx w15:paraId="6E0870A1" w15:done="0"/>
  <w15:commentEx w15:paraId="5E1A1964" w15:done="0"/>
  <w15:commentEx w15:paraId="078F91E9" w15:done="0"/>
  <w15:commentEx w15:paraId="7AEC7494" w15:done="0"/>
  <w15:commentEx w15:paraId="2292A359" w15:done="0"/>
  <w15:commentEx w15:paraId="272C7729" w15:done="0"/>
  <w15:commentEx w15:paraId="08510F3C" w15:done="0"/>
  <w15:commentEx w15:paraId="50734429" w15:done="0"/>
  <w15:commentEx w15:paraId="15C6917B" w15:done="0"/>
  <w15:commentEx w15:paraId="1D687DC2" w15:done="0"/>
  <w15:commentEx w15:paraId="73D39795" w15:done="0"/>
  <w15:commentEx w15:paraId="60C82475" w15:done="0"/>
  <w15:commentEx w15:paraId="07EE25CC" w15:done="0"/>
  <w15:commentEx w15:paraId="58140C4C" w15:done="0"/>
  <w15:commentEx w15:paraId="74B8A7C3" w15:done="0"/>
  <w15:commentEx w15:paraId="31C3D0EF" w15:done="0"/>
  <w15:commentEx w15:paraId="13636747" w15:done="0"/>
  <w15:commentEx w15:paraId="2643F734" w15:done="0"/>
  <w15:commentEx w15:paraId="4748B7AF" w15:done="0"/>
  <w15:commentEx w15:paraId="3700CC1C" w15:done="0"/>
  <w15:commentEx w15:paraId="5D5C68BA" w15:done="0"/>
  <w15:commentEx w15:paraId="25664315" w15:done="0"/>
  <w15:commentEx w15:paraId="15AE5DFD" w15:done="0"/>
  <w15:commentEx w15:paraId="345F319A" w15:done="0"/>
  <w15:commentEx w15:paraId="326C3921" w15:done="0"/>
  <w15:commentEx w15:paraId="17339D79" w15:done="0"/>
  <w15:commentEx w15:paraId="7D193F6D" w15:done="0"/>
  <w15:commentEx w15:paraId="740114AB" w15:done="0"/>
  <w15:commentEx w15:paraId="04E8139E" w15:done="0"/>
  <w15:commentEx w15:paraId="730F9F04" w15:done="0"/>
  <w15:commentEx w15:paraId="2A13D8A4" w15:done="0"/>
  <w15:commentEx w15:paraId="789F332B" w15:done="0"/>
  <w15:commentEx w15:paraId="1DA070F0" w15:done="0"/>
  <w15:commentEx w15:paraId="480E35A8" w15:done="0"/>
  <w15:commentEx w15:paraId="65476F97" w15:done="0"/>
  <w15:commentEx w15:paraId="37E7EE71" w15:done="0"/>
  <w15:commentEx w15:paraId="33C2ED48" w15:done="0"/>
  <w15:commentEx w15:paraId="1472650D" w15:done="0"/>
  <w15:commentEx w15:paraId="0A38DE20" w15:done="0"/>
  <w15:commentEx w15:paraId="713D28B9" w15:done="0"/>
  <w15:commentEx w15:paraId="4FD4BEC0" w15:done="0"/>
  <w15:commentEx w15:paraId="7F791D14" w15:done="0"/>
  <w15:commentEx w15:paraId="3A9ED7CE" w15:done="0"/>
  <w15:commentEx w15:paraId="5FCDC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4F04DAB" w16cex:dateUtc="2026-10-02T00:40:08Z"/>
  <w16cex:commentExtensible w16cex:durableId="692CD95A" w16cex:dateUtc="2026-10-02T00:40:08Z"/>
  <w16cex:commentExtensible w16cex:durableId="2EBD7BC2" w16cex:dateUtc="2026-10-02T00:40:08Z"/>
  <w16cex:commentExtensible w16cex:durableId="78B47C23" w16cex:dateUtc="2026-10-02T00:40:08Z"/>
  <w16cex:commentExtensible w16cex:durableId="66132DDA" w16cex:dateUtc="2026-10-02T00:40:08Z"/>
  <w16cex:commentExtensible w16cex:durableId="1002EDE0" w16cex:dateUtc="2026-10-02T00:40:08Z"/>
  <w16cex:commentExtensible w16cex:durableId="32E6D300" w16cex:dateUtc="2026-10-02T00:40:08Z"/>
  <w16cex:commentExtensible w16cex:durableId="503F7397" w16cex:dateUtc="2026-10-02T00:40:08Z"/>
  <w16cex:commentExtensible w16cex:durableId="6E0787AF" w16cex:dateUtc="2026-10-02T00:40:08Z"/>
  <w16cex:commentExtensible w16cex:durableId="66EB3A69" w16cex:dateUtc="2026-10-02T00:40:08Z"/>
  <w16cex:commentExtensible w16cex:durableId="38BB6802" w16cex:dateUtc="2026-10-02T00:40:08Z"/>
  <w16cex:commentExtensible w16cex:durableId="12A0C256" w16cex:dateUtc="2026-10-02T00:40:08Z"/>
  <w16cex:commentExtensible w16cex:durableId="7AE6386C" w16cex:dateUtc="2026-10-02T00:40:08Z"/>
  <w16cex:commentExtensible w16cex:durableId="5DAA9364" w16cex:dateUtc="2026-10-02T00:40:08Z"/>
  <w16cex:commentExtensible w16cex:durableId="4CCED62E" w16cex:dateUtc="2026-10-02T00:40:08Z"/>
  <w16cex:commentExtensible w16cex:durableId="23850440" w16cex:dateUtc="2026-10-02T00:40:08Z"/>
  <w16cex:commentExtensible w16cex:durableId="2676A71D" w16cex:dateUtc="2026-10-02T00:40:08Z"/>
  <w16cex:commentExtensible w16cex:durableId="61CCBD1B" w16cex:dateUtc="2026-10-02T00:40:08Z"/>
  <w16cex:commentExtensible w16cex:durableId="2A6C04B4" w16cex:dateUtc="2026-10-02T00:40:08Z"/>
  <w16cex:commentExtensible w16cex:durableId="2B22CAB3" w16cex:dateUtc="2026-10-02T00:40:08Z"/>
  <w16cex:commentExtensible w16cex:durableId="1CEDB589" w16cex:dateUtc="2026-10-02T00:40:08Z"/>
  <w16cex:commentExtensible w16cex:durableId="48489D61" w16cex:dateUtc="2026-10-02T00:40:08Z"/>
  <w16cex:commentExtensible w16cex:durableId="7BD34119" w16cex:dateUtc="2026-10-02T00:40:08Z"/>
  <w16cex:commentExtensible w16cex:durableId="0D183E1A" w16cex:dateUtc="2026-10-02T00:40:08Z"/>
  <w16cex:commentExtensible w16cex:durableId="3F1419C5" w16cex:dateUtc="2026-10-02T00:40:08Z"/>
  <w16cex:commentExtensible w16cex:durableId="78AC4EFF" w16cex:dateUtc="2026-10-02T00:40:08Z"/>
  <w16cex:commentExtensible w16cex:durableId="4C26BA6C" w16cex:dateUtc="2026-10-02T00:40:08Z"/>
  <w16cex:commentExtensible w16cex:durableId="2BE8EA56" w16cex:dateUtc="2026-10-02T00:40:08Z"/>
  <w16cex:commentExtensible w16cex:durableId="449AF825" w16cex:dateUtc="2026-10-02T00:40:08Z"/>
  <w16cex:commentExtensible w16cex:durableId="36F99981" w16cex:dateUtc="2026-10-02T00:40:08Z"/>
  <w16cex:commentExtensible w16cex:durableId="45D95DAD" w16cex:dateUtc="2026-10-02T00:40:08Z"/>
  <w16cex:commentExtensible w16cex:durableId="633223ED" w16cex:dateUtc="2026-10-02T00:40:08Z"/>
  <w16cex:commentExtensible w16cex:durableId="3C4B6337" w16cex:dateUtc="2026-10-02T00:40:08Z"/>
  <w16cex:commentExtensible w16cex:durableId="581C4158" w16cex:dateUtc="2026-10-02T00:40:08Z"/>
  <w16cex:commentExtensible w16cex:durableId="5721F771" w16cex:dateUtc="2026-10-02T00:40:08Z"/>
  <w16cex:commentExtensible w16cex:durableId="2E95605C" w16cex:dateUtc="2026-10-02T00:40:08Z"/>
  <w16cex:commentExtensible w16cex:durableId="294744D5" w16cex:dateUtc="2026-10-02T00:40:08Z"/>
  <w16cex:commentExtensible w16cex:durableId="4EE3617E" w16cex:dateUtc="2026-10-02T00:40:08Z"/>
  <w16cex:commentExtensible w16cex:durableId="772A8681" w16cex:dateUtc="2026-10-02T00:40:08Z"/>
  <w16cex:commentExtensible w16cex:durableId="3D27D51E" w16cex:dateUtc="2026-10-02T00:40:08Z"/>
  <w16cex:commentExtensible w16cex:durableId="406B1C42" w16cex:dateUtc="2026-10-02T00:40:08Z"/>
  <w16cex:commentExtensible w16cex:durableId="026F904E" w16cex:dateUtc="2026-10-02T00:40:08Z"/>
  <w16cex:commentExtensible w16cex:durableId="53944FED" w16cex:dateUtc="2026-10-02T00:40:08Z"/>
  <w16cex:commentExtensible w16cex:durableId="5BFF25A9" w16cex:dateUtc="2026-10-02T00:40:08Z"/>
  <w16cex:commentExtensible w16cex:durableId="1B8729C1" w16cex:dateUtc="2026-10-02T00:40:08Z"/>
  <w16cex:commentExtensible w16cex:durableId="6E1EF7F4" w16cex:dateUtc="2026-10-02T00:40:08Z"/>
  <w16cex:commentExtensible w16cex:durableId="0666E83A" w16cex:dateUtc="2026-10-02T00:40:08Z"/>
  <w16cex:commentExtensible w16cex:durableId="30AF3868" w16cex:dateUtc="2026-10-02T00:40:08Z"/>
  <w16cex:commentExtensible w16cex:durableId="56EA953D" w16cex:dateUtc="2026-10-02T00:40:08Z"/>
  <w16cex:commentExtensible w16cex:durableId="5BFCC1FD" w16cex:dateUtc="2026-10-02T00:40:08Z"/>
  <w16cex:commentExtensible w16cex:durableId="569B0F2D" w16cex:dateUtc="2026-10-02T00:40:08Z"/>
  <w16cex:commentExtensible w16cex:durableId="7B4B42FB" w16cex:dateUtc="2026-10-02T00:40:08Z"/>
  <w16cex:commentExtensible w16cex:durableId="565ED748" w16cex:dateUtc="2026-10-02T00:40:08Z"/>
  <w16cex:commentExtensible w16cex:durableId="71D7E89A" w16cex:dateUtc="2026-10-02T00:40:08Z"/>
  <w16cex:commentExtensible w16cex:durableId="43CDE995" w16cex:dateUtc="2026-10-02T00:40:08Z"/>
  <w16cex:commentExtensible w16cex:durableId="13B881F6" w16cex:dateUtc="2026-10-02T00:40:08Z"/>
  <w16cex:commentExtensible w16cex:durableId="501708AA" w16cex:dateUtc="2026-10-02T00:40:09Z"/>
  <w16cex:commentExtensible w16cex:durableId="0CF1387E" w16cex:dateUtc="2026-10-02T00:40:09Z"/>
  <w16cex:commentExtensible w16cex:durableId="307BA72D" w16cex:dateUtc="2026-10-02T00:40:09Z"/>
  <w16cex:commentExtensible w16cex:durableId="60D0D79A" w16cex:dateUtc="2026-10-02T00:40:09Z"/>
  <w16cex:commentExtensible w16cex:durableId="6CD9CB0E" w16cex:dateUtc="2026-10-02T00:40:09Z"/>
  <w16cex:commentExtensible w16cex:durableId="403CE695" w16cex:dateUtc="2026-10-02T00:40:09Z"/>
  <w16cex:commentExtensible w16cex:durableId="7B856042" w16cex:dateUtc="2026-10-02T00:40:09Z"/>
  <w16cex:commentExtensible w16cex:durableId="682E36D0" w16cex:dateUtc="2026-10-02T00:40:09Z"/>
  <w16cex:commentExtensible w16cex:durableId="50DEF71D" w16cex:dateUtc="2026-10-02T00:40:09Z"/>
  <w16cex:commentExtensible w16cex:durableId="5E724AD5" w16cex:dateUtc="2026-10-02T00:40:09Z"/>
  <w16cex:commentExtensible w16cex:durableId="482F8AE3" w16cex:dateUtc="2026-10-02T00:40:09Z"/>
  <w16cex:commentExtensible w16cex:durableId="4862232A" w16cex:dateUtc="2026-10-02T00:40:09Z"/>
  <w16cex:commentExtensible w16cex:durableId="669F66BD" w16cex:dateUtc="2026-10-02T00:40:09Z"/>
  <w16cex:commentExtensible w16cex:durableId="4E34692B" w16cex:dateUtc="2026-10-02T00:40:09Z"/>
  <w16cex:commentExtensible w16cex:durableId="5B5A79EA" w16cex:dateUtc="2026-10-02T00:40:09Z"/>
  <w16cex:commentExtensible w16cex:durableId="212ED033" w16cex:dateUtc="2026-10-02T00:40:09Z"/>
  <w16cex:commentExtensible w16cex:durableId="3EA322FB" w16cex:dateUtc="2026-10-02T00:40:09Z"/>
  <w16cex:commentExtensible w16cex:durableId="17C49D79" w16cex:dateUtc="2026-10-02T00:40:09Z"/>
  <w16cex:commentExtensible w16cex:durableId="5F70CB65" w16cex:dateUtc="2026-10-02T00:40:09Z"/>
  <w16cex:commentExtensible w16cex:durableId="2BCC310C" w16cex:dateUtc="2026-10-02T00:40:09Z"/>
  <w16cex:commentExtensible w16cex:durableId="11CE1F77" w16cex:dateUtc="2026-10-02T00:40:09Z"/>
  <w16cex:commentExtensible w16cex:durableId="346ACBA9" w16cex:dateUtc="2026-10-02T00:40:0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08BB5C" w16cid:durableId="54F04DAB"/>
  <w16cid:commentId w16cid:paraId="0834A2C8" w16cid:durableId="692CD95A"/>
  <w16cid:commentId w16cid:paraId="3A138E52" w16cid:durableId="2EBD7BC2"/>
  <w16cid:commentId w16cid:paraId="3C93A93B" w16cid:durableId="78B47C23"/>
  <w16cid:commentId w16cid:paraId="168CC577" w16cid:durableId="66132DDA"/>
  <w16cid:commentId w16cid:paraId="10991CF4" w16cid:durableId="1002EDE0"/>
  <w16cid:commentId w16cid:paraId="4E41DBE6" w16cid:durableId="32E6D300"/>
  <w16cid:commentId w16cid:paraId="39522C45" w16cid:durableId="503F7397"/>
  <w16cid:commentId w16cid:paraId="028603F9" w16cid:durableId="6E0787AF"/>
  <w16cid:commentId w16cid:paraId="033E7D8F" w16cid:durableId="66EB3A69"/>
  <w16cid:commentId w16cid:paraId="24CA5EDA" w16cid:durableId="38BB6802"/>
  <w16cid:commentId w16cid:paraId="1CED5602" w16cid:durableId="12A0C256"/>
  <w16cid:commentId w16cid:paraId="3F2087AB" w16cid:durableId="7AE6386C"/>
  <w16cid:commentId w16cid:paraId="0743B771" w16cid:durableId="5DAA9364"/>
  <w16cid:commentId w16cid:paraId="47E3E4D0" w16cid:durableId="4CCED62E"/>
  <w16cid:commentId w16cid:paraId="75676D95" w16cid:durableId="23850440"/>
  <w16cid:commentId w16cid:paraId="086E91C9" w16cid:durableId="2676A71D"/>
  <w16cid:commentId w16cid:paraId="0217258F" w16cid:durableId="61CCBD1B"/>
  <w16cid:commentId w16cid:paraId="125653B3" w16cid:durableId="2A6C04B4"/>
  <w16cid:commentId w16cid:paraId="0EC8D656" w16cid:durableId="2B22CAB3"/>
  <w16cid:commentId w16cid:paraId="585152D5" w16cid:durableId="1CEDB589"/>
  <w16cid:commentId w16cid:paraId="7795A5B6" w16cid:durableId="48489D61"/>
  <w16cid:commentId w16cid:paraId="080DB3AD" w16cid:durableId="7BD34119"/>
  <w16cid:commentId w16cid:paraId="12AE7CEF" w16cid:durableId="0D183E1A"/>
  <w16cid:commentId w16cid:paraId="4BF7D86B" w16cid:durableId="3F1419C5"/>
  <w16cid:commentId w16cid:paraId="3D0364D1" w16cid:durableId="78AC4EFF"/>
  <w16cid:commentId w16cid:paraId="18201ACF" w16cid:durableId="4C26BA6C"/>
  <w16cid:commentId w16cid:paraId="60991AD6" w16cid:durableId="2BE8EA56"/>
  <w16cid:commentId w16cid:paraId="4D5C28CB" w16cid:durableId="449AF825"/>
  <w16cid:commentId w16cid:paraId="2CBA4D71" w16cid:durableId="36F99981"/>
  <w16cid:commentId w16cid:paraId="039A4794" w16cid:durableId="45D95DAD"/>
  <w16cid:commentId w16cid:paraId="59EE7AA1" w16cid:durableId="633223ED"/>
  <w16cid:commentId w16cid:paraId="67C97D5E" w16cid:durableId="3C4B6337"/>
  <w16cid:commentId w16cid:paraId="3DBA3A64" w16cid:durableId="581C4158"/>
  <w16cid:commentId w16cid:paraId="6E0870A1" w16cid:durableId="5721F771"/>
  <w16cid:commentId w16cid:paraId="5E1A1964" w16cid:durableId="2E95605C"/>
  <w16cid:commentId w16cid:paraId="078F91E9" w16cid:durableId="294744D5"/>
  <w16cid:commentId w16cid:paraId="7AEC7494" w16cid:durableId="4EE3617E"/>
  <w16cid:commentId w16cid:paraId="2292A359" w16cid:durableId="772A8681"/>
  <w16cid:commentId w16cid:paraId="272C7729" w16cid:durableId="3D27D51E"/>
  <w16cid:commentId w16cid:paraId="08510F3C" w16cid:durableId="406B1C42"/>
  <w16cid:commentId w16cid:paraId="50734429" w16cid:durableId="026F904E"/>
  <w16cid:commentId w16cid:paraId="15C6917B" w16cid:durableId="53944FED"/>
  <w16cid:commentId w16cid:paraId="1D687DC2" w16cid:durableId="5BFF25A9"/>
  <w16cid:commentId w16cid:paraId="73D39795" w16cid:durableId="1B8729C1"/>
  <w16cid:commentId w16cid:paraId="60C82475" w16cid:durableId="6E1EF7F4"/>
  <w16cid:commentId w16cid:paraId="07EE25CC" w16cid:durableId="0666E83A"/>
  <w16cid:commentId w16cid:paraId="58140C4C" w16cid:durableId="30AF3868"/>
  <w16cid:commentId w16cid:paraId="74B8A7C3" w16cid:durableId="56EA953D"/>
  <w16cid:commentId w16cid:paraId="31C3D0EF" w16cid:durableId="5BFCC1FD"/>
  <w16cid:commentId w16cid:paraId="13636747" w16cid:durableId="569B0F2D"/>
  <w16cid:commentId w16cid:paraId="2643F734" w16cid:durableId="7B4B42FB"/>
  <w16cid:commentId w16cid:paraId="4748B7AF" w16cid:durableId="565ED748"/>
  <w16cid:commentId w16cid:paraId="3700CC1C" w16cid:durableId="71D7E89A"/>
  <w16cid:commentId w16cid:paraId="5D5C68BA" w16cid:durableId="43CDE995"/>
  <w16cid:commentId w16cid:paraId="25664315" w16cid:durableId="13B881F6"/>
  <w16cid:commentId w16cid:paraId="15AE5DFD" w16cid:durableId="501708AA"/>
  <w16cid:commentId w16cid:paraId="345F319A" w16cid:durableId="0CF1387E"/>
  <w16cid:commentId w16cid:paraId="326C3921" w16cid:durableId="307BA72D"/>
  <w16cid:commentId w16cid:paraId="17339D79" w16cid:durableId="60D0D79A"/>
  <w16cid:commentId w16cid:paraId="7D193F6D" w16cid:durableId="6CD9CB0E"/>
  <w16cid:commentId w16cid:paraId="740114AB" w16cid:durableId="403CE695"/>
  <w16cid:commentId w16cid:paraId="04E8139E" w16cid:durableId="7B856042"/>
  <w16cid:commentId w16cid:paraId="730F9F04" w16cid:durableId="682E36D0"/>
  <w16cid:commentId w16cid:paraId="2A13D8A4" w16cid:durableId="50DEF71D"/>
  <w16cid:commentId w16cid:paraId="789F332B" w16cid:durableId="5E724AD5"/>
  <w16cid:commentId w16cid:paraId="1DA070F0" w16cid:durableId="482F8AE3"/>
  <w16cid:commentId w16cid:paraId="480E35A8" w16cid:durableId="4862232A"/>
  <w16cid:commentId w16cid:paraId="65476F97" w16cid:durableId="669F66BD"/>
  <w16cid:commentId w16cid:paraId="37E7EE71" w16cid:durableId="4E34692B"/>
  <w16cid:commentId w16cid:paraId="33C2ED48" w16cid:durableId="5B5A79EA"/>
  <w16cid:commentId w16cid:paraId="1472650D" w16cid:durableId="212ED033"/>
  <w16cid:commentId w16cid:paraId="0A38DE20" w16cid:durableId="3EA322FB"/>
  <w16cid:commentId w16cid:paraId="713D28B9" w16cid:durableId="17C49D79"/>
  <w16cid:commentId w16cid:paraId="4FD4BEC0" w16cid:durableId="5F70CB65"/>
  <w16cid:commentId w16cid:paraId="7F791D14" w16cid:durableId="2BCC310C"/>
  <w16cid:commentId w16cid:paraId="3A9ED7CE" w16cid:durableId="11CE1F77"/>
  <w16cid:commentId w16cid:paraId="5FCDC6AF" w16cid:durableId="346ACB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Companion material to Writing the DSUR (Selim Medical Press). Fictional data. Not regulatory advice. CC BY-NC 4.0.</w:t>
    </w:r>
  </w:p>
  <w:p>
    <w:pP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Companion material to Writing the DSUR (Selim Medical Press). Fictional data. Not regulatory advice. CC BY-NC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A6B4C8"/>
      </w:pBdr>
    </w:pPr>
    <w:r/>
    <w:r>
      <w:rPr>
        <w:color w:val="555555"/>
        <w:sz w:val="16"/>
      </w:rPr>
      <w:t>XB-7  |  Development Safety Update Report 5  |  2 September 2025 to 1 September 2026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i w:val="0"/>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i w:val="0"/>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annotation reference"/>
    <w:rPr>
      <w:sz w:val="16"/>
    </w:rPr>
  </w:style>
  <w:style w:type="paragraph" w:customStyle="1" w:styleId="TOC1">
    <w:name w:val="toc 1"/>
    <w:basedOn w:val="Normal"/>
    <w:pPr>
      <w:tabs>
        <w:tab w:pos="9360" w:val="right" w:leader="dot"/>
      </w:tabs>
      <w:spacing w:after="0" w:before="40" w:line="240" w:lineRule="auto"/>
      <w:ind w:left="0"/>
    </w:pPr>
    <w:rPr>
      <w:b/>
      <w:sz w:val="19"/>
    </w:rPr>
  </w:style>
  <w:style w:type="paragraph" w:customStyle="1" w:styleId="TOC2">
    <w:name w:val="toc 2"/>
    <w:basedOn w:val="Normal"/>
    <w:pPr>
      <w:tabs>
        <w:tab w:pos="9360" w:val="right" w:leader="dot"/>
      </w:tabs>
      <w:spacing w:after="0" w:before="0" w:line="240" w:lineRule="auto"/>
      <w:ind w:left="432"/>
    </w:pPr>
    <w:rPr>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