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T-01 — Signal Management SOP Outline</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Use when writing or revising a signal management standard operating procedure, and when auditing an existing one section by section.</w:t>
      </w:r>
    </w:p>
    <w:p>
      <w:r>
        <w:t>A procedure earns its place by fixing what would otherwise be decided case by case, and differently each time. The discipline this outline enforces is that every heading must be answerable with a specific arrangement rather than a restatement of guidance. A section that reproduces the wording of GVP Module IX has not been written.</w:t>
      </w:r>
    </w:p>
    <w:p>
      <w:pPr>
        <w:pStyle w:val="Prompt"/>
      </w:pPr>
      <w:r>
        <w:t>Working method: draft the right-hand column first. If you cannot write a specific arrangement for a section, that section describes a decision your organization has not yet made.</w:t>
      </w:r>
    </w:p>
    <w:p>
      <w:pPr>
        <w:pStyle w:val="Heading1"/>
      </w:pPr>
      <w:r>
        <w:t>Part A — Procedure table of contents</w:t>
      </w:r>
    </w:p>
    <w:tbl>
      <w:tblPr>
        <w:tblStyle w:val="ToolkitTable"/>
        <w:tblW w:type="auto" w:w="0"/>
        <w:jc w:val="left"/>
        <w:tblLayout w:type="fixed"/>
        <w:tblLook w:val="04A0" w:firstRow="1" w:lastRow="0" w:firstColumn="0" w:lastColumn="0" w:noHBand="0" w:noVBand="1"/>
      </w:tblPr>
      <w:tblGrid>
        <w:gridCol w:w="374"/>
        <w:gridCol w:w="1872"/>
        <w:gridCol w:w="5616"/>
        <w:gridCol w:w="1498"/>
      </w:tblGrid>
      <w:tr>
        <w:trPr>
          <w:tblHeader/>
        </w:trPr>
        <w:tc>
          <w:tcPr>
            <w:tcW w:type="dxa" w:w="374"/>
          </w:tcPr>
          <w:p>
            <w:pPr>
              <w:spacing w:before="20" w:after="20" w:line="254" w:lineRule="auto"/>
            </w:pPr>
            <w:r>
              <w:rPr>
                <w:rFonts w:ascii="Carlito" w:hAnsi="Carlito"/>
                <w:b/>
                <w:i w:val="0"/>
                <w:color w:val="FFFFFF"/>
                <w:sz w:val="19"/>
              </w:rPr>
              <w:t>§</w:t>
            </w:r>
          </w:p>
        </w:tc>
        <w:tc>
          <w:tcPr>
            <w:tcW w:type="dxa" w:w="1872"/>
          </w:tcPr>
          <w:p>
            <w:pPr>
              <w:spacing w:before="20" w:after="20" w:line="254" w:lineRule="auto"/>
            </w:pPr>
            <w:r>
              <w:rPr>
                <w:rFonts w:ascii="Carlito" w:hAnsi="Carlito"/>
                <w:b/>
                <w:i w:val="0"/>
                <w:color w:val="FFFFFF"/>
                <w:sz w:val="19"/>
              </w:rPr>
              <w:t>Section</w:t>
            </w:r>
          </w:p>
        </w:tc>
        <w:tc>
          <w:tcPr>
            <w:tcW w:type="dxa" w:w="5616"/>
          </w:tcPr>
          <w:p>
            <w:pPr>
              <w:spacing w:before="20" w:after="20" w:line="254" w:lineRule="auto"/>
            </w:pPr>
            <w:r>
              <w:rPr>
                <w:rFonts w:ascii="Carlito" w:hAnsi="Carlito"/>
                <w:b/>
                <w:i w:val="0"/>
                <w:color w:val="FFFFFF"/>
                <w:sz w:val="19"/>
              </w:rPr>
              <w:t>What the section must fix</w:t>
            </w:r>
          </w:p>
        </w:tc>
        <w:tc>
          <w:tcPr>
            <w:tcW w:type="dxa" w:w="1498"/>
          </w:tcPr>
          <w:p>
            <w:pPr>
              <w:spacing w:before="20" w:after="20" w:line="254" w:lineRule="auto"/>
            </w:pPr>
            <w:r>
              <w:rPr>
                <w:rFonts w:ascii="Carlito" w:hAnsi="Carlito"/>
                <w:b/>
                <w:i w:val="0"/>
                <w:color w:val="FFFFFF"/>
                <w:sz w:val="19"/>
              </w:rPr>
              <w:t>Drafted? Owner</w:t>
            </w:r>
          </w:p>
        </w:tc>
      </w:tr>
      <w:tr>
        <w:tc>
          <w:tcPr>
            <w:tcW w:type="dxa" w:w="374"/>
          </w:tcPr>
          <w:p>
            <w:pPr>
              <w:spacing w:before="20" w:after="20" w:line="254" w:lineRule="auto"/>
            </w:pPr>
            <w:r>
              <w:rPr>
                <w:rFonts w:ascii="Carlito" w:hAnsi="Carlito"/>
                <w:b w:val="0"/>
                <w:i w:val="0"/>
                <w:sz w:val="19"/>
              </w:rPr>
              <w:t>1</w:t>
            </w:r>
          </w:p>
        </w:tc>
        <w:tc>
          <w:tcPr>
            <w:tcW w:type="dxa" w:w="1872"/>
          </w:tcPr>
          <w:p>
            <w:pPr>
              <w:spacing w:before="20" w:after="20" w:line="254" w:lineRule="auto"/>
            </w:pPr>
            <w:r>
              <w:rPr>
                <w:rFonts w:ascii="Carlito" w:hAnsi="Carlito"/>
                <w:b w:val="0"/>
                <w:i w:val="0"/>
                <w:sz w:val="19"/>
              </w:rPr>
              <w:t>Purpose and scope</w:t>
            </w:r>
          </w:p>
        </w:tc>
        <w:tc>
          <w:tcPr>
            <w:tcW w:type="dxa" w:w="5616"/>
          </w:tcPr>
          <w:p>
            <w:pPr>
              <w:spacing w:before="20" w:after="20" w:line="254" w:lineRule="auto"/>
            </w:pPr>
            <w:r>
              <w:rPr>
                <w:rFonts w:ascii="Carlito" w:hAnsi="Carlito"/>
                <w:b w:val="0"/>
                <w:i w:val="0"/>
                <w:sz w:val="19"/>
              </w:rPr>
              <w:t>Products, regions, partners and sources covered; what is excluded and why</w:t>
            </w:r>
          </w:p>
          <w:p>
            <w:pPr>
              <w:spacing w:before="20" w:after="20" w:line="254" w:lineRule="auto"/>
            </w:pPr>
            <w:r>
              <w:rPr>
                <w:rFonts w:ascii="Carlito" w:hAnsi="Carlito"/>
                <w:b w:val="0"/>
                <w:i/>
                <w:color w:val="4A5B63"/>
                <w:sz w:val="17"/>
              </w:rPr>
              <w:t>An exclusion recorded with its justification is a decision. An exclusion not mentioned is a gap.</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2</w:t>
            </w:r>
          </w:p>
        </w:tc>
        <w:tc>
          <w:tcPr>
            <w:tcW w:type="dxa" w:w="1872"/>
          </w:tcPr>
          <w:p>
            <w:pPr>
              <w:spacing w:before="20" w:after="20" w:line="254" w:lineRule="auto"/>
            </w:pPr>
            <w:r>
              <w:rPr>
                <w:rFonts w:ascii="Carlito" w:hAnsi="Carlito"/>
                <w:b w:val="0"/>
                <w:i w:val="0"/>
                <w:sz w:val="19"/>
              </w:rPr>
              <w:t>Definitions</w:t>
            </w:r>
          </w:p>
        </w:tc>
        <w:tc>
          <w:tcPr>
            <w:tcW w:type="dxa" w:w="5616"/>
          </w:tcPr>
          <w:p>
            <w:pPr>
              <w:spacing w:before="20" w:after="20" w:line="254" w:lineRule="auto"/>
            </w:pPr>
            <w:r>
              <w:rPr>
                <w:rFonts w:ascii="Carlito" w:hAnsi="Carlito"/>
                <w:b w:val="0"/>
                <w:i w:val="0"/>
                <w:sz w:val="19"/>
              </w:rPr>
              <w:t>Alert, signal, validated signal, confirmed signal, emerging safety issue, as used in this company</w:t>
            </w:r>
          </w:p>
          <w:p>
            <w:pPr>
              <w:spacing w:before="20" w:after="20" w:line="254" w:lineRule="auto"/>
            </w:pPr>
            <w:r>
              <w:rPr>
                <w:rFonts w:ascii="Carlito" w:hAnsi="Carlito"/>
                <w:b w:val="0"/>
                <w:i/>
                <w:color w:val="4A5B63"/>
                <w:sz w:val="17"/>
              </w:rPr>
              <w:t>Keep alert and signal distinct in every sentence of the procedure. Confirmation is a competent-authority step, not a synonym for proven.</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3</w:t>
            </w:r>
          </w:p>
        </w:tc>
        <w:tc>
          <w:tcPr>
            <w:tcW w:type="dxa" w:w="1872"/>
          </w:tcPr>
          <w:p>
            <w:pPr>
              <w:spacing w:before="20" w:after="20" w:line="254" w:lineRule="auto"/>
            </w:pPr>
            <w:r>
              <w:rPr>
                <w:rFonts w:ascii="Carlito" w:hAnsi="Carlito"/>
                <w:b w:val="0"/>
                <w:i w:val="0"/>
                <w:sz w:val="19"/>
              </w:rPr>
              <w:t>Roles and decision rights</w:t>
            </w:r>
          </w:p>
        </w:tc>
        <w:tc>
          <w:tcPr>
            <w:tcW w:type="dxa" w:w="5616"/>
          </w:tcPr>
          <w:p>
            <w:pPr>
              <w:spacing w:before="20" w:after="20" w:line="254" w:lineRule="auto"/>
            </w:pPr>
            <w:r>
              <w:rPr>
                <w:rFonts w:ascii="Carlito" w:hAnsi="Carlito"/>
                <w:b w:val="0"/>
                <w:i w:val="0"/>
                <w:sz w:val="19"/>
              </w:rPr>
              <w:t>Named roles, the owner of the medical position, the escalation authority, deputies</w:t>
            </w:r>
          </w:p>
          <w:p>
            <w:pPr>
              <w:spacing w:before="20" w:after="20" w:line="254" w:lineRule="auto"/>
            </w:pPr>
            <w:r>
              <w:rPr>
                <w:rFonts w:ascii="Carlito" w:hAnsi="Carlito"/>
                <w:b w:val="0"/>
                <w:i/>
                <w:color w:val="4A5B63"/>
                <w:sz w:val="17"/>
              </w:rPr>
              <w:t>Committees advise; someone signs. Name the qualified individual whose judgment the company will defend.</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4</w:t>
            </w:r>
          </w:p>
        </w:tc>
        <w:tc>
          <w:tcPr>
            <w:tcW w:type="dxa" w:w="1872"/>
          </w:tcPr>
          <w:p>
            <w:pPr>
              <w:spacing w:before="20" w:after="20" w:line="254" w:lineRule="auto"/>
            </w:pPr>
            <w:r>
              <w:rPr>
                <w:rFonts w:ascii="Carlito" w:hAnsi="Carlito"/>
                <w:b w:val="0"/>
                <w:i w:val="0"/>
                <w:sz w:val="19"/>
              </w:rPr>
              <w:t>Data sources and access</w:t>
            </w:r>
          </w:p>
        </w:tc>
        <w:tc>
          <w:tcPr>
            <w:tcW w:type="dxa" w:w="5616"/>
          </w:tcPr>
          <w:p>
            <w:pPr>
              <w:spacing w:before="20" w:after="20" w:line="254" w:lineRule="auto"/>
            </w:pPr>
            <w:r>
              <w:rPr>
                <w:rFonts w:ascii="Carlito" w:hAnsi="Carlito"/>
                <w:b w:val="0"/>
                <w:i w:val="0"/>
                <w:sz w:val="19"/>
              </w:rPr>
              <w:t>Each source, its owner, access arrangements, refresh rate and known limitations</w:t>
            </w:r>
          </w:p>
          <w:p>
            <w:pPr>
              <w:spacing w:before="20" w:after="20" w:line="254" w:lineRule="auto"/>
            </w:pPr>
            <w:r>
              <w:rPr>
                <w:rFonts w:ascii="Carlito" w:hAnsi="Carlito"/>
                <w:b w:val="0"/>
                <w:i/>
                <w:color w:val="4A5B63"/>
                <w:sz w:val="17"/>
              </w:rPr>
              <w:t>Cross-reference T-03.</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5</w:t>
            </w:r>
          </w:p>
        </w:tc>
        <w:tc>
          <w:tcPr>
            <w:tcW w:type="dxa" w:w="1872"/>
          </w:tcPr>
          <w:p>
            <w:pPr>
              <w:spacing w:before="20" w:after="20" w:line="254" w:lineRule="auto"/>
            </w:pPr>
            <w:r>
              <w:rPr>
                <w:rFonts w:ascii="Carlito" w:hAnsi="Carlito"/>
                <w:b w:val="0"/>
                <w:i w:val="0"/>
                <w:sz w:val="19"/>
              </w:rPr>
              <w:t>Screening frequency</w:t>
            </w:r>
          </w:p>
        </w:tc>
        <w:tc>
          <w:tcPr>
            <w:tcW w:type="dxa" w:w="5616"/>
          </w:tcPr>
          <w:p>
            <w:pPr>
              <w:spacing w:before="20" w:after="20" w:line="254" w:lineRule="auto"/>
            </w:pPr>
            <w:r>
              <w:rPr>
                <w:rFonts w:ascii="Carlito" w:hAnsi="Carlito"/>
                <w:b w:val="0"/>
                <w:i w:val="0"/>
                <w:sz w:val="19"/>
              </w:rPr>
              <w:t>Tier definitions, assignment rule, review date, justification against product risk</w:t>
            </w:r>
          </w:p>
          <w:p>
            <w:pPr>
              <w:spacing w:before="20" w:after="20" w:line="254" w:lineRule="auto"/>
            </w:pPr>
            <w:r>
              <w:rPr>
                <w:rFonts w:ascii="Carlito" w:hAnsi="Carlito"/>
                <w:b w:val="0"/>
                <w:i/>
                <w:color w:val="4A5B63"/>
                <w:sz w:val="17"/>
              </w:rPr>
              <w:t>In the EU, monitoring of EudraVigilance is at a frequency proportionate to product risk; the company must be able to explain how each product's frequency was derived.</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6</w:t>
            </w:r>
          </w:p>
        </w:tc>
        <w:tc>
          <w:tcPr>
            <w:tcW w:type="dxa" w:w="1872"/>
          </w:tcPr>
          <w:p>
            <w:pPr>
              <w:spacing w:before="20" w:after="20" w:line="254" w:lineRule="auto"/>
            </w:pPr>
            <w:r>
              <w:rPr>
                <w:rFonts w:ascii="Carlito" w:hAnsi="Carlito"/>
                <w:b w:val="0"/>
                <w:i w:val="0"/>
                <w:sz w:val="19"/>
              </w:rPr>
              <w:t>Detection methods</w:t>
            </w:r>
          </w:p>
        </w:tc>
        <w:tc>
          <w:tcPr>
            <w:tcW w:type="dxa" w:w="5616"/>
          </w:tcPr>
          <w:p>
            <w:pPr>
              <w:spacing w:before="20" w:after="20" w:line="254" w:lineRule="auto"/>
            </w:pPr>
            <w:r>
              <w:rPr>
                <w:rFonts w:ascii="Carlito" w:hAnsi="Carlito"/>
                <w:b w:val="0"/>
                <w:i w:val="0"/>
                <w:sz w:val="19"/>
              </w:rPr>
              <w:t>Clinical review, quantitative screening, thresholds used and their stated purpose</w:t>
            </w:r>
          </w:p>
          <w:p>
            <w:pPr>
              <w:spacing w:before="20" w:after="20" w:line="254" w:lineRule="auto"/>
            </w:pPr>
            <w:r>
              <w:rPr>
                <w:rFonts w:ascii="Carlito" w:hAnsi="Carlito"/>
                <w:b w:val="0"/>
                <w:i/>
                <w:color w:val="4A5B63"/>
                <w:sz w:val="17"/>
              </w:rPr>
              <w:t>State that a threshold allocates workload. It does not establish that an association exists.</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7</w:t>
            </w:r>
          </w:p>
        </w:tc>
        <w:tc>
          <w:tcPr>
            <w:tcW w:type="dxa" w:w="1872"/>
          </w:tcPr>
          <w:p>
            <w:pPr>
              <w:spacing w:before="20" w:after="20" w:line="254" w:lineRule="auto"/>
            </w:pPr>
            <w:r>
              <w:rPr>
                <w:rFonts w:ascii="Carlito" w:hAnsi="Carlito"/>
                <w:b w:val="0"/>
                <w:i w:val="0"/>
                <w:sz w:val="19"/>
              </w:rPr>
              <w:t>Triage and alert handling</w:t>
            </w:r>
          </w:p>
        </w:tc>
        <w:tc>
          <w:tcPr>
            <w:tcW w:type="dxa" w:w="5616"/>
          </w:tcPr>
          <w:p>
            <w:pPr>
              <w:spacing w:before="20" w:after="20" w:line="254" w:lineRule="auto"/>
            </w:pPr>
            <w:r>
              <w:rPr>
                <w:rFonts w:ascii="Carlito" w:hAnsi="Carlito"/>
                <w:b w:val="0"/>
                <w:i w:val="0"/>
                <w:sz w:val="19"/>
              </w:rPr>
              <w:t>Duplicate check, prior-decision check, product confirmation, timelines</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8</w:t>
            </w:r>
          </w:p>
        </w:tc>
        <w:tc>
          <w:tcPr>
            <w:tcW w:type="dxa" w:w="1872"/>
          </w:tcPr>
          <w:p>
            <w:pPr>
              <w:spacing w:before="20" w:after="20" w:line="254" w:lineRule="auto"/>
            </w:pPr>
            <w:r>
              <w:rPr>
                <w:rFonts w:ascii="Carlito" w:hAnsi="Carlito"/>
                <w:b w:val="0"/>
                <w:i w:val="0"/>
                <w:sz w:val="19"/>
              </w:rPr>
              <w:t>Validation</w:t>
            </w:r>
          </w:p>
        </w:tc>
        <w:tc>
          <w:tcPr>
            <w:tcW w:type="dxa" w:w="5616"/>
          </w:tcPr>
          <w:p>
            <w:pPr>
              <w:spacing w:before="20" w:after="20" w:line="254" w:lineRule="auto"/>
            </w:pPr>
            <w:r>
              <w:rPr>
                <w:rFonts w:ascii="Carlito" w:hAnsi="Carlito"/>
                <w:b w:val="0"/>
                <w:i w:val="0"/>
                <w:sz w:val="19"/>
              </w:rPr>
              <w:t>Criteria; documentation of non-validation; sign-off; assessment of notification obligations including emerging safety issues</w:t>
            </w:r>
          </w:p>
          <w:p>
            <w:pPr>
              <w:spacing w:before="20" w:after="20" w:line="254" w:lineRule="auto"/>
            </w:pPr>
            <w:r>
              <w:rPr>
                <w:rFonts w:ascii="Carlito" w:hAnsi="Carlito"/>
                <w:b w:val="0"/>
                <w:i/>
                <w:color w:val="4A5B63"/>
                <w:sz w:val="17"/>
              </w:rPr>
              <w:t>Non-validation is documented as thoroughly as validation. A file containing only validated signals is evidence that the others were never documented.</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9</w:t>
            </w:r>
          </w:p>
        </w:tc>
        <w:tc>
          <w:tcPr>
            <w:tcW w:type="dxa" w:w="1872"/>
          </w:tcPr>
          <w:p>
            <w:pPr>
              <w:spacing w:before="20" w:after="20" w:line="254" w:lineRule="auto"/>
            </w:pPr>
            <w:r>
              <w:rPr>
                <w:rFonts w:ascii="Carlito" w:hAnsi="Carlito"/>
                <w:b w:val="0"/>
                <w:i w:val="0"/>
                <w:sz w:val="19"/>
              </w:rPr>
              <w:t>Prioritization</w:t>
            </w:r>
          </w:p>
        </w:tc>
        <w:tc>
          <w:tcPr>
            <w:tcW w:type="dxa" w:w="5616"/>
          </w:tcPr>
          <w:p>
            <w:pPr>
              <w:spacing w:before="20" w:after="20" w:line="254" w:lineRule="auto"/>
            </w:pPr>
            <w:r>
              <w:rPr>
                <w:rFonts w:ascii="Carlito" w:hAnsi="Carlito"/>
                <w:b w:val="0"/>
                <w:i w:val="0"/>
                <w:sz w:val="19"/>
              </w:rPr>
              <w:t>Criteria, scoring or ranking method, override rule, target timelines</w:t>
            </w:r>
          </w:p>
          <w:p>
            <w:pPr>
              <w:spacing w:before="20" w:after="20" w:line="254" w:lineRule="auto"/>
            </w:pPr>
            <w:r>
              <w:rPr>
                <w:rFonts w:ascii="Carlito" w:hAnsi="Carlito"/>
                <w:b w:val="0"/>
                <w:i/>
                <w:color w:val="4A5B63"/>
                <w:sz w:val="17"/>
              </w:rPr>
              <w:t>Label the scheme as a company design. No regulatory scoring scheme, domain set, weighting or threshold exists.</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10</w:t>
            </w:r>
          </w:p>
        </w:tc>
        <w:tc>
          <w:tcPr>
            <w:tcW w:type="dxa" w:w="1872"/>
          </w:tcPr>
          <w:p>
            <w:pPr>
              <w:spacing w:before="20" w:after="20" w:line="254" w:lineRule="auto"/>
            </w:pPr>
            <w:r>
              <w:rPr>
                <w:rFonts w:ascii="Carlito" w:hAnsi="Carlito"/>
                <w:b w:val="0"/>
                <w:i w:val="0"/>
                <w:sz w:val="19"/>
              </w:rPr>
              <w:t>Assessment</w:t>
            </w:r>
          </w:p>
        </w:tc>
        <w:tc>
          <w:tcPr>
            <w:tcW w:type="dxa" w:w="5616"/>
          </w:tcPr>
          <w:p>
            <w:pPr>
              <w:spacing w:before="20" w:after="20" w:line="254" w:lineRule="auto"/>
            </w:pPr>
            <w:r>
              <w:rPr>
                <w:rFonts w:ascii="Carlito" w:hAnsi="Carlito"/>
                <w:b w:val="0"/>
                <w:i w:val="0"/>
                <w:sz w:val="19"/>
              </w:rPr>
              <w:t>Required content, analyses, handling of uncertainty, second review</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11</w:t>
            </w:r>
          </w:p>
        </w:tc>
        <w:tc>
          <w:tcPr>
            <w:tcW w:type="dxa" w:w="1872"/>
          </w:tcPr>
          <w:p>
            <w:pPr>
              <w:spacing w:before="20" w:after="20" w:line="254" w:lineRule="auto"/>
            </w:pPr>
            <w:r>
              <w:rPr>
                <w:rFonts w:ascii="Carlito" w:hAnsi="Carlito"/>
                <w:b w:val="0"/>
                <w:i w:val="0"/>
                <w:sz w:val="19"/>
              </w:rPr>
              <w:t>Committee</w:t>
            </w:r>
          </w:p>
        </w:tc>
        <w:tc>
          <w:tcPr>
            <w:tcW w:type="dxa" w:w="5616"/>
          </w:tcPr>
          <w:p>
            <w:pPr>
              <w:spacing w:before="20" w:after="20" w:line="254" w:lineRule="auto"/>
            </w:pPr>
            <w:r>
              <w:rPr>
                <w:rFonts w:ascii="Carlito" w:hAnsi="Carlito"/>
                <w:b w:val="0"/>
                <w:i w:val="0"/>
                <w:sz w:val="19"/>
              </w:rPr>
              <w:t>Membership, quorum, cadence, pre-read timing, decision rights, minutes</w:t>
            </w:r>
          </w:p>
          <w:p>
            <w:pPr>
              <w:spacing w:before="20" w:after="20" w:line="254" w:lineRule="auto"/>
            </w:pPr>
            <w:r>
              <w:rPr>
                <w:rFonts w:ascii="Carlito" w:hAnsi="Carlito"/>
                <w:b w:val="0"/>
                <w:i/>
                <w:color w:val="4A5B63"/>
                <w:sz w:val="17"/>
              </w:rPr>
              <w:t>Cross-reference T-16.</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12</w:t>
            </w:r>
          </w:p>
        </w:tc>
        <w:tc>
          <w:tcPr>
            <w:tcW w:type="dxa" w:w="1872"/>
          </w:tcPr>
          <w:p>
            <w:pPr>
              <w:spacing w:before="20" w:after="20" w:line="254" w:lineRule="auto"/>
            </w:pPr>
            <w:r>
              <w:rPr>
                <w:rFonts w:ascii="Carlito" w:hAnsi="Carlito"/>
                <w:b w:val="0"/>
                <w:i w:val="0"/>
                <w:sz w:val="19"/>
              </w:rPr>
              <w:t>Decisions and actions</w:t>
            </w:r>
          </w:p>
        </w:tc>
        <w:tc>
          <w:tcPr>
            <w:tcW w:type="dxa" w:w="5616"/>
          </w:tcPr>
          <w:p>
            <w:pPr>
              <w:spacing w:before="20" w:after="20" w:line="254" w:lineRule="auto"/>
            </w:pPr>
            <w:r>
              <w:rPr>
                <w:rFonts w:ascii="Carlito" w:hAnsi="Carlito"/>
                <w:b w:val="0"/>
                <w:i w:val="0"/>
                <w:sz w:val="19"/>
              </w:rPr>
              <w:t>Decision categories, action owners, due dates, effectiveness measures</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13</w:t>
            </w:r>
          </w:p>
        </w:tc>
        <w:tc>
          <w:tcPr>
            <w:tcW w:type="dxa" w:w="1872"/>
          </w:tcPr>
          <w:p>
            <w:pPr>
              <w:spacing w:before="20" w:after="20" w:line="254" w:lineRule="auto"/>
            </w:pPr>
            <w:r>
              <w:rPr>
                <w:rFonts w:ascii="Carlito" w:hAnsi="Carlito"/>
                <w:b w:val="0"/>
                <w:i w:val="0"/>
                <w:sz w:val="19"/>
              </w:rPr>
              <w:t>Urgent safety escalation</w:t>
            </w:r>
          </w:p>
        </w:tc>
        <w:tc>
          <w:tcPr>
            <w:tcW w:type="dxa" w:w="5616"/>
          </w:tcPr>
          <w:p>
            <w:pPr>
              <w:spacing w:before="20" w:after="20" w:line="254" w:lineRule="auto"/>
            </w:pPr>
            <w:r>
              <w:rPr>
                <w:rFonts w:ascii="Carlito" w:hAnsi="Carlito"/>
                <w:b w:val="0"/>
                <w:i w:val="0"/>
                <w:sz w:val="19"/>
              </w:rPr>
              <w:t>Definition, named authority, maximum elapsed time, notification path</w:t>
            </w:r>
          </w:p>
          <w:p>
            <w:pPr>
              <w:spacing w:before="20" w:after="20" w:line="254" w:lineRule="auto"/>
            </w:pPr>
            <w:r>
              <w:rPr>
                <w:rFonts w:ascii="Carlito" w:hAnsi="Carlito"/>
                <w:b w:val="0"/>
                <w:i/>
                <w:color w:val="4A5B63"/>
                <w:sz w:val="17"/>
              </w:rPr>
              <w:t>Write it as a path with a named person and a maximum elapsed time, not as an exhortation to act quickly.</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14</w:t>
            </w:r>
          </w:p>
        </w:tc>
        <w:tc>
          <w:tcPr>
            <w:tcW w:type="dxa" w:w="1872"/>
          </w:tcPr>
          <w:p>
            <w:pPr>
              <w:spacing w:before="20" w:after="20" w:line="254" w:lineRule="auto"/>
            </w:pPr>
            <w:r>
              <w:rPr>
                <w:rFonts w:ascii="Carlito" w:hAnsi="Carlito"/>
                <w:b w:val="0"/>
                <w:i w:val="0"/>
                <w:sz w:val="19"/>
              </w:rPr>
              <w:t>Documentation and records</w:t>
            </w:r>
          </w:p>
        </w:tc>
        <w:tc>
          <w:tcPr>
            <w:tcW w:type="dxa" w:w="5616"/>
          </w:tcPr>
          <w:p>
            <w:pPr>
              <w:spacing w:before="20" w:after="20" w:line="254" w:lineRule="auto"/>
            </w:pPr>
            <w:r>
              <w:rPr>
                <w:rFonts w:ascii="Carlito" w:hAnsi="Carlito"/>
                <w:b w:val="0"/>
                <w:i w:val="0"/>
                <w:sz w:val="19"/>
              </w:rPr>
              <w:t>Tracking record fields, versioning, data-cut freezing, retention</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15</w:t>
            </w:r>
          </w:p>
        </w:tc>
        <w:tc>
          <w:tcPr>
            <w:tcW w:type="dxa" w:w="1872"/>
          </w:tcPr>
          <w:p>
            <w:pPr>
              <w:spacing w:before="20" w:after="20" w:line="254" w:lineRule="auto"/>
            </w:pPr>
            <w:r>
              <w:rPr>
                <w:rFonts w:ascii="Carlito" w:hAnsi="Carlito"/>
                <w:b w:val="0"/>
                <w:i w:val="0"/>
                <w:sz w:val="19"/>
              </w:rPr>
              <w:t>Closure and reopening</w:t>
            </w:r>
          </w:p>
        </w:tc>
        <w:tc>
          <w:tcPr>
            <w:tcW w:type="dxa" w:w="5616"/>
          </w:tcPr>
          <w:p>
            <w:pPr>
              <w:spacing w:before="20" w:after="20" w:line="254" w:lineRule="auto"/>
            </w:pPr>
            <w:r>
              <w:rPr>
                <w:rFonts w:ascii="Carlito" w:hAnsi="Carlito"/>
                <w:b w:val="0"/>
                <w:i w:val="0"/>
                <w:sz w:val="19"/>
              </w:rPr>
              <w:t>Closure content, objective triggers, reopening route</w:t>
            </w:r>
          </w:p>
          <w:p>
            <w:pPr>
              <w:spacing w:before="20" w:after="20" w:line="254" w:lineRule="auto"/>
            </w:pPr>
            <w:r>
              <w:rPr>
                <w:rFonts w:ascii="Carlito" w:hAnsi="Carlito"/>
                <w:b w:val="0"/>
                <w:i/>
                <w:color w:val="4A5B63"/>
                <w:sz w:val="17"/>
              </w:rPr>
              <w:t>Triggers must be countable by someone who never met the team.</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16</w:t>
            </w:r>
          </w:p>
        </w:tc>
        <w:tc>
          <w:tcPr>
            <w:tcW w:type="dxa" w:w="1872"/>
          </w:tcPr>
          <w:p>
            <w:pPr>
              <w:spacing w:before="20" w:after="20" w:line="254" w:lineRule="auto"/>
            </w:pPr>
            <w:r>
              <w:rPr>
                <w:rFonts w:ascii="Carlito" w:hAnsi="Carlito"/>
                <w:b w:val="0"/>
                <w:i w:val="0"/>
                <w:sz w:val="19"/>
              </w:rPr>
              <w:t>Interfaces</w:t>
            </w:r>
          </w:p>
        </w:tc>
        <w:tc>
          <w:tcPr>
            <w:tcW w:type="dxa" w:w="5616"/>
          </w:tcPr>
          <w:p>
            <w:pPr>
              <w:spacing w:before="20" w:after="20" w:line="254" w:lineRule="auto"/>
            </w:pPr>
            <w:r>
              <w:rPr>
                <w:rFonts w:ascii="Carlito" w:hAnsi="Carlito"/>
                <w:b w:val="0"/>
                <w:i w:val="0"/>
                <w:sz w:val="19"/>
              </w:rPr>
              <w:t>Named counterparts and obligations for each connected function</w:t>
            </w:r>
          </w:p>
        </w:tc>
        <w:tc>
          <w:tcPr>
            <w:tcW w:type="dxa" w:w="1498"/>
          </w:tcPr>
          <w:p>
            <w:pPr>
              <w:spacing w:before="20" w:after="20" w:line="254" w:lineRule="auto"/>
            </w:pPr>
          </w:p>
        </w:tc>
      </w:tr>
      <w:tr>
        <w:tc>
          <w:tcPr>
            <w:tcW w:type="dxa" w:w="374"/>
          </w:tcPr>
          <w:p>
            <w:pPr>
              <w:spacing w:before="20" w:after="20" w:line="254" w:lineRule="auto"/>
            </w:pPr>
            <w:r>
              <w:rPr>
                <w:rFonts w:ascii="Carlito" w:hAnsi="Carlito"/>
                <w:b w:val="0"/>
                <w:i w:val="0"/>
                <w:sz w:val="19"/>
              </w:rPr>
              <w:t>17</w:t>
            </w:r>
          </w:p>
        </w:tc>
        <w:tc>
          <w:tcPr>
            <w:tcW w:type="dxa" w:w="1872"/>
          </w:tcPr>
          <w:p>
            <w:pPr>
              <w:spacing w:before="20" w:after="20" w:line="254" w:lineRule="auto"/>
            </w:pPr>
            <w:r>
              <w:rPr>
                <w:rFonts w:ascii="Carlito" w:hAnsi="Carlito"/>
                <w:b w:val="0"/>
                <w:i w:val="0"/>
                <w:sz w:val="19"/>
              </w:rPr>
              <w:t>Quality, deviations, metrics</w:t>
            </w:r>
          </w:p>
        </w:tc>
        <w:tc>
          <w:tcPr>
            <w:tcW w:type="dxa" w:w="5616"/>
          </w:tcPr>
          <w:p>
            <w:pPr>
              <w:spacing w:before="20" w:after="20" w:line="254" w:lineRule="auto"/>
            </w:pPr>
            <w:r>
              <w:rPr>
                <w:rFonts w:ascii="Carlito" w:hAnsi="Carlito"/>
                <w:b w:val="0"/>
                <w:i w:val="0"/>
                <w:sz w:val="19"/>
              </w:rPr>
              <w:t>Controls, deviation handling, CAPA, and the metrics reported</w:t>
            </w:r>
          </w:p>
          <w:p>
            <w:pPr>
              <w:spacing w:before="20" w:after="20" w:line="254" w:lineRule="auto"/>
            </w:pPr>
            <w:r>
              <w:rPr>
                <w:rFonts w:ascii="Carlito" w:hAnsi="Carlito"/>
                <w:b w:val="0"/>
                <w:i/>
                <w:color w:val="4A5B63"/>
                <w:sz w:val="17"/>
              </w:rPr>
              <w:t>Cross-reference T-19 and T-20.</w:t>
            </w:r>
          </w:p>
        </w:tc>
        <w:tc>
          <w:tcPr>
            <w:tcW w:type="dxa" w:w="1498"/>
          </w:tcPr>
          <w:p>
            <w:pPr>
              <w:spacing w:before="20" w:after="20" w:line="254" w:lineRule="auto"/>
            </w:pPr>
          </w:p>
        </w:tc>
      </w:tr>
    </w:tbl>
    <w:p>
      <w:pPr>
        <w:spacing w:after="40"/>
      </w:pPr>
    </w:p>
    <w:p>
      <w:pPr>
        <w:pStyle w:val="Heading1"/>
      </w:pPr>
      <w:r>
        <w:t>Part B — Decision rights by state change</w:t>
      </w:r>
    </w:p>
    <w:p>
      <w:r>
        <w:t>A state change is any transition that alters what the organization owes. Complete one row per state change; name who proposes, who decides, and where the decision is written down.</w:t>
      </w:r>
    </w:p>
    <w:p>
      <w:pPr>
        <w:pStyle w:val="SubtleNote"/>
      </w:pPr>
      <w:r>
        <w:t>Illustrative company design, not a regulatory requirement.</w:t>
      </w:r>
    </w:p>
    <w:tbl>
      <w:tblPr>
        <w:tblStyle w:val="ToolkitTable"/>
        <w:tblW w:type="auto" w:w="0"/>
        <w:jc w:val="left"/>
        <w:tblLayout w:type="fixed"/>
        <w:tblLook w:val="04A0" w:firstRow="1" w:lastRow="0" w:firstColumn="0" w:lastColumn="0" w:noHBand="0" w:noVBand="1"/>
      </w:tblPr>
      <w:tblGrid>
        <w:gridCol w:w="3182"/>
        <w:gridCol w:w="2059"/>
        <w:gridCol w:w="2246"/>
        <w:gridCol w:w="1872"/>
      </w:tblGrid>
      <w:tr>
        <w:trPr>
          <w:tblHeader/>
        </w:trPr>
        <w:tc>
          <w:tcPr>
            <w:tcW w:type="dxa" w:w="3182"/>
          </w:tcPr>
          <w:p>
            <w:pPr>
              <w:spacing w:before="20" w:after="20" w:line="254" w:lineRule="auto"/>
            </w:pPr>
            <w:r>
              <w:rPr>
                <w:rFonts w:ascii="Carlito" w:hAnsi="Carlito"/>
                <w:b/>
                <w:i w:val="0"/>
                <w:color w:val="FFFFFF"/>
                <w:sz w:val="19"/>
              </w:rPr>
              <w:t>State change</w:t>
            </w:r>
          </w:p>
        </w:tc>
        <w:tc>
          <w:tcPr>
            <w:tcW w:type="dxa" w:w="2059"/>
          </w:tcPr>
          <w:p>
            <w:pPr>
              <w:spacing w:before="20" w:after="20" w:line="254" w:lineRule="auto"/>
            </w:pPr>
            <w:r>
              <w:rPr>
                <w:rFonts w:ascii="Carlito" w:hAnsi="Carlito"/>
                <w:b/>
                <w:i w:val="0"/>
                <w:color w:val="FFFFFF"/>
                <w:sz w:val="19"/>
              </w:rPr>
              <w:t>Proposed by</w:t>
            </w:r>
          </w:p>
        </w:tc>
        <w:tc>
          <w:tcPr>
            <w:tcW w:type="dxa" w:w="2246"/>
          </w:tcPr>
          <w:p>
            <w:pPr>
              <w:spacing w:before="20" w:after="20" w:line="254" w:lineRule="auto"/>
            </w:pPr>
            <w:r>
              <w:rPr>
                <w:rFonts w:ascii="Carlito" w:hAnsi="Carlito"/>
                <w:b/>
                <w:i w:val="0"/>
                <w:color w:val="FFFFFF"/>
                <w:sz w:val="19"/>
              </w:rPr>
              <w:t>Decided by</w:t>
            </w:r>
          </w:p>
        </w:tc>
        <w:tc>
          <w:tcPr>
            <w:tcW w:type="dxa" w:w="1872"/>
          </w:tcPr>
          <w:p>
            <w:pPr>
              <w:spacing w:before="20" w:after="20" w:line="254" w:lineRule="auto"/>
            </w:pPr>
            <w:r>
              <w:rPr>
                <w:rFonts w:ascii="Carlito" w:hAnsi="Carlito"/>
                <w:b/>
                <w:i w:val="0"/>
                <w:color w:val="FFFFFF"/>
                <w:sz w:val="19"/>
              </w:rPr>
              <w:t>Recorded in</w:t>
            </w:r>
          </w:p>
        </w:tc>
      </w:tr>
      <w:tr>
        <w:tc>
          <w:tcPr>
            <w:tcW w:type="dxa" w:w="3182"/>
          </w:tcPr>
          <w:p>
            <w:pPr>
              <w:spacing w:before="20" w:after="20" w:line="254" w:lineRule="auto"/>
            </w:pPr>
            <w:r>
              <w:rPr>
                <w:rFonts w:ascii="Carlito" w:hAnsi="Carlito"/>
                <w:b w:val="0"/>
                <w:i w:val="0"/>
                <w:sz w:val="19"/>
              </w:rPr>
              <w:t>Register an alert for review</w:t>
            </w:r>
          </w:p>
        </w:tc>
        <w:tc>
          <w:tcPr>
            <w:tcW w:type="dxa" w:w="2059"/>
          </w:tcPr>
          <w:p>
            <w:pPr>
              <w:spacing w:before="20" w:after="20" w:line="254" w:lineRule="auto"/>
            </w:pPr>
            <w:r>
              <w:rPr>
                <w:rFonts w:ascii="Carlito" w:hAnsi="Carlito"/>
                <w:b w:val="0"/>
                <w:i w:val="0"/>
                <w:sz w:val="19"/>
              </w:rPr>
              <w:t>Any source owner or reviewer</w:t>
            </w:r>
          </w:p>
        </w:tc>
        <w:tc>
          <w:tcPr>
            <w:tcW w:type="dxa" w:w="2246"/>
          </w:tcPr>
          <w:p>
            <w:pPr>
              <w:spacing w:before="20" w:after="20" w:line="254" w:lineRule="auto"/>
            </w:pPr>
            <w:r>
              <w:rPr>
                <w:rFonts w:ascii="Carlito" w:hAnsi="Carlito"/>
                <w:b w:val="0"/>
                <w:i w:val="0"/>
                <w:sz w:val="19"/>
              </w:rPr>
              <w:t>Signal management lead</w:t>
            </w:r>
          </w:p>
        </w:tc>
        <w:tc>
          <w:tcPr>
            <w:tcW w:type="dxa" w:w="1872"/>
          </w:tcPr>
          <w:p>
            <w:pPr>
              <w:spacing w:before="20" w:after="20" w:line="254" w:lineRule="auto"/>
            </w:pPr>
            <w:r>
              <w:rPr>
                <w:rFonts w:ascii="Carlito" w:hAnsi="Carlito"/>
                <w:b w:val="0"/>
                <w:i w:val="0"/>
                <w:sz w:val="19"/>
              </w:rPr>
              <w:t>Signal tracking record</w:t>
            </w:r>
          </w:p>
        </w:tc>
      </w:tr>
      <w:tr>
        <w:tc>
          <w:tcPr>
            <w:tcW w:type="dxa" w:w="3182"/>
          </w:tcPr>
          <w:p>
            <w:pPr>
              <w:spacing w:before="20" w:after="20" w:line="254" w:lineRule="auto"/>
            </w:pPr>
            <w:r>
              <w:rPr>
                <w:rFonts w:ascii="Carlito" w:hAnsi="Carlito"/>
                <w:b w:val="0"/>
                <w:i w:val="0"/>
                <w:sz w:val="19"/>
              </w:rPr>
              <w:t>Validate, or document non-validation</w:t>
            </w:r>
          </w:p>
        </w:tc>
        <w:tc>
          <w:tcPr>
            <w:tcW w:type="dxa" w:w="2059"/>
          </w:tcPr>
          <w:p>
            <w:pPr>
              <w:spacing w:before="20" w:after="20" w:line="254" w:lineRule="auto"/>
            </w:pPr>
            <w:r>
              <w:rPr>
                <w:rFonts w:ascii="Carlito" w:hAnsi="Carlito"/>
                <w:b w:val="0"/>
                <w:i w:val="0"/>
                <w:sz w:val="19"/>
              </w:rPr>
              <w:t>Reviewing safety physician</w:t>
            </w:r>
          </w:p>
        </w:tc>
        <w:tc>
          <w:tcPr>
            <w:tcW w:type="dxa" w:w="2246"/>
          </w:tcPr>
          <w:p>
            <w:pPr>
              <w:spacing w:before="20" w:after="20" w:line="254" w:lineRule="auto"/>
            </w:pPr>
            <w:r>
              <w:rPr>
                <w:rFonts w:ascii="Carlito" w:hAnsi="Carlito"/>
                <w:b w:val="0"/>
                <w:i w:val="0"/>
                <w:sz w:val="19"/>
              </w:rPr>
              <w:t>Signal management lead with medical sign-off</w:t>
            </w:r>
          </w:p>
        </w:tc>
        <w:tc>
          <w:tcPr>
            <w:tcW w:type="dxa" w:w="1872"/>
          </w:tcPr>
          <w:p>
            <w:pPr>
              <w:spacing w:before="20" w:after="20" w:line="254" w:lineRule="auto"/>
            </w:pPr>
            <w:r>
              <w:rPr>
                <w:rFonts w:ascii="Carlito" w:hAnsi="Carlito"/>
                <w:b w:val="0"/>
                <w:i w:val="0"/>
                <w:sz w:val="19"/>
              </w:rPr>
              <w:t>Validation record (T-05)</w:t>
            </w:r>
          </w:p>
        </w:tc>
      </w:tr>
      <w:tr>
        <w:tc>
          <w:tcPr>
            <w:tcW w:type="dxa" w:w="3182"/>
          </w:tcPr>
          <w:p>
            <w:pPr>
              <w:spacing w:before="20" w:after="20" w:line="254" w:lineRule="auto"/>
            </w:pPr>
            <w:r>
              <w:rPr>
                <w:rFonts w:ascii="Carlito" w:hAnsi="Carlito"/>
                <w:b w:val="0"/>
                <w:i w:val="0"/>
                <w:sz w:val="19"/>
              </w:rPr>
              <w:t>Assess notification obligations and notify where required</w:t>
            </w:r>
          </w:p>
        </w:tc>
        <w:tc>
          <w:tcPr>
            <w:tcW w:type="dxa" w:w="2059"/>
          </w:tcPr>
          <w:p>
            <w:pPr>
              <w:spacing w:before="20" w:after="20" w:line="254" w:lineRule="auto"/>
            </w:pPr>
            <w:r>
              <w:rPr>
                <w:rFonts w:ascii="Carlito" w:hAnsi="Carlito"/>
                <w:b w:val="0"/>
                <w:i w:val="0"/>
                <w:sz w:val="19"/>
              </w:rPr>
              <w:t>Signal management lead</w:t>
            </w:r>
          </w:p>
        </w:tc>
        <w:tc>
          <w:tcPr>
            <w:tcW w:type="dxa" w:w="2246"/>
          </w:tcPr>
          <w:p>
            <w:pPr>
              <w:spacing w:before="20" w:after="20" w:line="254" w:lineRule="auto"/>
            </w:pPr>
            <w:r>
              <w:rPr>
                <w:rFonts w:ascii="Carlito" w:hAnsi="Carlito"/>
                <w:b w:val="0"/>
                <w:i w:val="0"/>
                <w:sz w:val="19"/>
              </w:rPr>
              <w:t>QPPV or delegate</w:t>
            </w:r>
          </w:p>
        </w:tc>
        <w:tc>
          <w:tcPr>
            <w:tcW w:type="dxa" w:w="1872"/>
          </w:tcPr>
          <w:p>
            <w:pPr>
              <w:spacing w:before="20" w:after="20" w:line="254" w:lineRule="auto"/>
            </w:pPr>
            <w:r>
              <w:rPr>
                <w:rFonts w:ascii="Carlito" w:hAnsi="Carlito"/>
                <w:b w:val="0"/>
                <w:i w:val="0"/>
                <w:sz w:val="19"/>
              </w:rPr>
              <w:t>Regulatory correspondence log</w:t>
            </w:r>
          </w:p>
        </w:tc>
      </w:tr>
      <w:tr>
        <w:tc>
          <w:tcPr>
            <w:tcW w:type="dxa" w:w="3182"/>
          </w:tcPr>
          <w:p>
            <w:pPr>
              <w:spacing w:before="20" w:after="20" w:line="254" w:lineRule="auto"/>
            </w:pPr>
            <w:r>
              <w:rPr>
                <w:rFonts w:ascii="Carlito" w:hAnsi="Carlito"/>
                <w:b w:val="0"/>
                <w:i w:val="0"/>
                <w:sz w:val="19"/>
              </w:rPr>
              <w:t>Assign or change priority</w:t>
            </w:r>
          </w:p>
        </w:tc>
        <w:tc>
          <w:tcPr>
            <w:tcW w:type="dxa" w:w="2059"/>
          </w:tcPr>
          <w:p>
            <w:pPr>
              <w:spacing w:before="20" w:after="20" w:line="254" w:lineRule="auto"/>
            </w:pPr>
            <w:r>
              <w:rPr>
                <w:rFonts w:ascii="Carlito" w:hAnsi="Carlito"/>
                <w:b w:val="0"/>
                <w:i w:val="0"/>
                <w:sz w:val="19"/>
              </w:rPr>
              <w:t>Signal management lead</w:t>
            </w:r>
          </w:p>
        </w:tc>
        <w:tc>
          <w:tcPr>
            <w:tcW w:type="dxa" w:w="2246"/>
          </w:tcPr>
          <w:p>
            <w:pPr>
              <w:spacing w:before="20" w:after="20" w:line="254" w:lineRule="auto"/>
            </w:pPr>
            <w:r>
              <w:rPr>
                <w:rFonts w:ascii="Carlito" w:hAnsi="Carlito"/>
                <w:b w:val="0"/>
                <w:i w:val="0"/>
                <w:sz w:val="19"/>
              </w:rPr>
              <w:t>Signal committee</w:t>
            </w:r>
          </w:p>
        </w:tc>
        <w:tc>
          <w:tcPr>
            <w:tcW w:type="dxa" w:w="1872"/>
          </w:tcPr>
          <w:p>
            <w:pPr>
              <w:spacing w:before="20" w:after="20" w:line="254" w:lineRule="auto"/>
            </w:pPr>
            <w:r>
              <w:rPr>
                <w:rFonts w:ascii="Carlito" w:hAnsi="Carlito"/>
                <w:b w:val="0"/>
                <w:i w:val="0"/>
                <w:sz w:val="19"/>
              </w:rPr>
              <w:t>Decision log (T-16)</w:t>
            </w:r>
          </w:p>
        </w:tc>
      </w:tr>
      <w:tr>
        <w:tc>
          <w:tcPr>
            <w:tcW w:type="dxa" w:w="3182"/>
          </w:tcPr>
          <w:p>
            <w:pPr>
              <w:spacing w:before="20" w:after="20" w:line="254" w:lineRule="auto"/>
            </w:pPr>
            <w:r>
              <w:rPr>
                <w:rFonts w:ascii="Carlito" w:hAnsi="Carlito"/>
                <w:b w:val="0"/>
                <w:i w:val="0"/>
                <w:sz w:val="19"/>
              </w:rPr>
              <w:t>Adopt the medical conclusion</w:t>
            </w:r>
          </w:p>
        </w:tc>
        <w:tc>
          <w:tcPr>
            <w:tcW w:type="dxa" w:w="2059"/>
          </w:tcPr>
          <w:p>
            <w:pPr>
              <w:spacing w:before="20" w:after="20" w:line="254" w:lineRule="auto"/>
            </w:pPr>
            <w:r>
              <w:rPr>
                <w:rFonts w:ascii="Carlito" w:hAnsi="Carlito"/>
                <w:b w:val="0"/>
                <w:i w:val="0"/>
                <w:sz w:val="19"/>
              </w:rPr>
              <w:t>Assessor</w:t>
            </w:r>
          </w:p>
        </w:tc>
        <w:tc>
          <w:tcPr>
            <w:tcW w:type="dxa" w:w="2246"/>
          </w:tcPr>
          <w:p>
            <w:pPr>
              <w:spacing w:before="20" w:after="20" w:line="254" w:lineRule="auto"/>
            </w:pPr>
            <w:r>
              <w:rPr>
                <w:rFonts w:ascii="Carlito" w:hAnsi="Carlito"/>
                <w:b w:val="0"/>
                <w:i w:val="0"/>
                <w:sz w:val="19"/>
              </w:rPr>
              <w:t>Named owner of the medical position</w:t>
            </w:r>
          </w:p>
        </w:tc>
        <w:tc>
          <w:tcPr>
            <w:tcW w:type="dxa" w:w="1872"/>
          </w:tcPr>
          <w:p>
            <w:pPr>
              <w:spacing w:before="20" w:after="20" w:line="254" w:lineRule="auto"/>
            </w:pPr>
            <w:r>
              <w:rPr>
                <w:rFonts w:ascii="Carlito" w:hAnsi="Carlito"/>
                <w:b w:val="0"/>
                <w:i w:val="0"/>
                <w:sz w:val="19"/>
              </w:rPr>
              <w:t>Signal assessment report (T-17)</w:t>
            </w:r>
          </w:p>
        </w:tc>
      </w:tr>
      <w:tr>
        <w:tc>
          <w:tcPr>
            <w:tcW w:type="dxa" w:w="3182"/>
          </w:tcPr>
          <w:p>
            <w:pPr>
              <w:spacing w:before="20" w:after="20" w:line="254" w:lineRule="auto"/>
            </w:pPr>
            <w:r>
              <w:rPr>
                <w:rFonts w:ascii="Carlito" w:hAnsi="Carlito"/>
                <w:b w:val="0"/>
                <w:i w:val="0"/>
                <w:sz w:val="19"/>
              </w:rPr>
              <w:t>Approve a regulatory action</w:t>
            </w:r>
          </w:p>
        </w:tc>
        <w:tc>
          <w:tcPr>
            <w:tcW w:type="dxa" w:w="2059"/>
          </w:tcPr>
          <w:p>
            <w:pPr>
              <w:spacing w:before="20" w:after="20" w:line="254" w:lineRule="auto"/>
            </w:pPr>
            <w:r>
              <w:rPr>
                <w:rFonts w:ascii="Carlito" w:hAnsi="Carlito"/>
                <w:b w:val="0"/>
                <w:i w:val="0"/>
                <w:sz w:val="19"/>
              </w:rPr>
              <w:t>Signal committee</w:t>
            </w:r>
          </w:p>
        </w:tc>
        <w:tc>
          <w:tcPr>
            <w:tcW w:type="dxa" w:w="2246"/>
          </w:tcPr>
          <w:p>
            <w:pPr>
              <w:spacing w:before="20" w:after="20" w:line="254" w:lineRule="auto"/>
            </w:pPr>
            <w:r>
              <w:rPr>
                <w:rFonts w:ascii="Carlito" w:hAnsi="Carlito"/>
                <w:b w:val="0"/>
                <w:i w:val="0"/>
                <w:sz w:val="19"/>
              </w:rPr>
              <w:t>Accountable executive or governance body</w:t>
            </w:r>
          </w:p>
        </w:tc>
        <w:tc>
          <w:tcPr>
            <w:tcW w:type="dxa" w:w="1872"/>
          </w:tcPr>
          <w:p>
            <w:pPr>
              <w:spacing w:before="20" w:after="20" w:line="254" w:lineRule="auto"/>
            </w:pPr>
            <w:r>
              <w:rPr>
                <w:rFonts w:ascii="Carlito" w:hAnsi="Carlito"/>
                <w:b w:val="0"/>
                <w:i w:val="0"/>
                <w:sz w:val="19"/>
              </w:rPr>
              <w:t>Decision log and action log</w:t>
            </w:r>
          </w:p>
        </w:tc>
      </w:tr>
      <w:tr>
        <w:tc>
          <w:tcPr>
            <w:tcW w:type="dxa" w:w="3182"/>
          </w:tcPr>
          <w:p>
            <w:pPr>
              <w:spacing w:before="20" w:after="20" w:line="254" w:lineRule="auto"/>
            </w:pPr>
            <w:r>
              <w:rPr>
                <w:rFonts w:ascii="Carlito" w:hAnsi="Carlito"/>
                <w:b w:val="0"/>
                <w:i w:val="0"/>
                <w:sz w:val="19"/>
              </w:rPr>
              <w:t>Close a signal, with reopening triggers</w:t>
            </w:r>
          </w:p>
        </w:tc>
        <w:tc>
          <w:tcPr>
            <w:tcW w:type="dxa" w:w="2059"/>
          </w:tcPr>
          <w:p>
            <w:pPr>
              <w:spacing w:before="20" w:after="20" w:line="254" w:lineRule="auto"/>
            </w:pPr>
            <w:r>
              <w:rPr>
                <w:rFonts w:ascii="Carlito" w:hAnsi="Carlito"/>
                <w:b w:val="0"/>
                <w:i w:val="0"/>
                <w:sz w:val="19"/>
              </w:rPr>
              <w:t>Assessor</w:t>
            </w:r>
          </w:p>
        </w:tc>
        <w:tc>
          <w:tcPr>
            <w:tcW w:type="dxa" w:w="2246"/>
          </w:tcPr>
          <w:p>
            <w:pPr>
              <w:spacing w:before="20" w:after="20" w:line="254" w:lineRule="auto"/>
            </w:pPr>
            <w:r>
              <w:rPr>
                <w:rFonts w:ascii="Carlito" w:hAnsi="Carlito"/>
                <w:b w:val="0"/>
                <w:i w:val="0"/>
                <w:sz w:val="19"/>
              </w:rPr>
              <w:t>Signal committee</w:t>
            </w:r>
          </w:p>
        </w:tc>
        <w:tc>
          <w:tcPr>
            <w:tcW w:type="dxa" w:w="1872"/>
          </w:tcPr>
          <w:p>
            <w:pPr>
              <w:spacing w:before="20" w:after="20" w:line="254" w:lineRule="auto"/>
            </w:pPr>
            <w:r>
              <w:rPr>
                <w:rFonts w:ascii="Carlito" w:hAnsi="Carlito"/>
                <w:b w:val="0"/>
                <w:i w:val="0"/>
                <w:sz w:val="19"/>
              </w:rPr>
              <w:t>Closure memo (T-17)</w:t>
            </w:r>
          </w:p>
        </w:tc>
      </w:tr>
      <w:tr>
        <w:tc>
          <w:tcPr>
            <w:tcW w:type="dxa" w:w="3182"/>
          </w:tcPr>
          <w:p>
            <w:pPr>
              <w:spacing w:before="20" w:after="20" w:line="254" w:lineRule="auto"/>
            </w:pPr>
            <w:r>
              <w:rPr>
                <w:rFonts w:ascii="Carlito" w:hAnsi="Carlito"/>
                <w:b w:val="0"/>
                <w:i w:val="0"/>
                <w:sz w:val="19"/>
              </w:rPr>
              <w:t>Convene an out-of-cycle urgent review</w:t>
            </w:r>
          </w:p>
        </w:tc>
        <w:tc>
          <w:tcPr>
            <w:tcW w:type="dxa" w:w="2059"/>
          </w:tcPr>
          <w:p>
            <w:pPr>
              <w:spacing w:before="20" w:after="20" w:line="254" w:lineRule="auto"/>
            </w:pPr>
            <w:r>
              <w:rPr>
                <w:rFonts w:ascii="Carlito" w:hAnsi="Carlito"/>
                <w:b w:val="0"/>
                <w:i w:val="0"/>
                <w:sz w:val="19"/>
              </w:rPr>
              <w:t>Anyone</w:t>
            </w:r>
          </w:p>
        </w:tc>
        <w:tc>
          <w:tcPr>
            <w:tcW w:type="dxa" w:w="2246"/>
          </w:tcPr>
          <w:p>
            <w:pPr>
              <w:spacing w:before="20" w:after="20" w:line="254" w:lineRule="auto"/>
            </w:pPr>
            <w:r>
              <w:rPr>
                <w:rFonts w:ascii="Carlito" w:hAnsi="Carlito"/>
                <w:b w:val="0"/>
                <w:i w:val="0"/>
                <w:sz w:val="19"/>
              </w:rPr>
              <w:t>Named escalation authority</w:t>
            </w:r>
          </w:p>
        </w:tc>
        <w:tc>
          <w:tcPr>
            <w:tcW w:type="dxa" w:w="1872"/>
          </w:tcPr>
          <w:p>
            <w:pPr>
              <w:spacing w:before="20" w:after="20" w:line="254" w:lineRule="auto"/>
            </w:pPr>
            <w:r>
              <w:rPr>
                <w:rFonts w:ascii="Carlito" w:hAnsi="Carlito"/>
                <w:b w:val="0"/>
                <w:i w:val="0"/>
                <w:sz w:val="19"/>
              </w:rPr>
              <w:t>Urgent escalation record</w:t>
            </w:r>
          </w:p>
        </w:tc>
      </w:tr>
    </w:tbl>
    <w:p>
      <w:pPr>
        <w:spacing w:after="40"/>
      </w:pPr>
    </w:p>
    <w:p>
      <w:r>
        <w:t>One row has changed shape and is worth naming. Commission Implementing Regulation (EU) 2025/1466 of 22 July 2025 (in force 12 August 2025) deleted Article 21(2) of CIR (EU) No 520/2012. Marketing authorisation holders no longer notify validated signals to EMA and the national competent authorities; a validated signal is handled under the holder's own signal management process. The emerging safety issue notification survives unchanged: in writing to the national competent authorities of Member States where the product is authorised and to EMA, as soon as possible and no later than 3 working days (GVP Module IX Rev 1, IX.C.2).</w:t>
      </w:r>
    </w:p>
    <w:p>
      <w:pPr>
        <w:pStyle w:val="Heading1"/>
      </w:pPr>
      <w:r>
        <w:t>Part C — Responsibility matrix</w:t>
      </w:r>
    </w:p>
    <w:p>
      <w:r>
        <w:t>R responsible · A accountable · C consulted · I informed. Exactly one A per row. The matrix is useful only if the activities down the side are real activities.</w:t>
      </w:r>
    </w:p>
    <w:p>
      <w:pPr>
        <w:pStyle w:val="Heading2"/>
      </w:pPr>
      <w:r>
        <w:t>C.1 Central functions</w:t>
      </w:r>
    </w:p>
    <w:tbl>
      <w:tblPr>
        <w:tblStyle w:val="ToolkitTable"/>
        <w:tblW w:type="auto" w:w="0"/>
        <w:jc w:val="left"/>
        <w:tblLayout w:type="fixed"/>
        <w:tblLook w:val="04A0" w:firstRow="1" w:lastRow="0" w:firstColumn="0" w:lastColumn="0" w:noHBand="0" w:noVBand="1"/>
      </w:tblPr>
      <w:tblGrid>
        <w:gridCol w:w="4118"/>
        <w:gridCol w:w="1310"/>
        <w:gridCol w:w="1310"/>
        <w:gridCol w:w="1310"/>
        <w:gridCol w:w="1310"/>
      </w:tblGrid>
      <w:tr>
        <w:trPr>
          <w:tblHeader/>
        </w:trPr>
        <w:tc>
          <w:tcPr>
            <w:tcW w:type="dxa" w:w="4118"/>
          </w:tcPr>
          <w:p>
            <w:pPr>
              <w:spacing w:before="20" w:after="20" w:line="254" w:lineRule="auto"/>
            </w:pPr>
            <w:r>
              <w:rPr>
                <w:rFonts w:ascii="Carlito" w:hAnsi="Carlito"/>
                <w:b/>
                <w:i w:val="0"/>
                <w:color w:val="FFFFFF"/>
                <w:sz w:val="19"/>
              </w:rPr>
              <w:t>Activity</w:t>
            </w:r>
          </w:p>
        </w:tc>
        <w:tc>
          <w:tcPr>
            <w:tcW w:type="dxa" w:w="1310"/>
          </w:tcPr>
          <w:p>
            <w:pPr>
              <w:spacing w:before="20" w:after="20" w:line="254" w:lineRule="auto"/>
            </w:pPr>
            <w:r>
              <w:rPr>
                <w:rFonts w:ascii="Carlito" w:hAnsi="Carlito"/>
                <w:b/>
                <w:i w:val="0"/>
                <w:color w:val="FFFFFF"/>
                <w:sz w:val="19"/>
              </w:rPr>
              <w:t>Central safety</w:t>
            </w:r>
          </w:p>
        </w:tc>
        <w:tc>
          <w:tcPr>
            <w:tcW w:type="dxa" w:w="1310"/>
          </w:tcPr>
          <w:p>
            <w:pPr>
              <w:spacing w:before="20" w:after="20" w:line="254" w:lineRule="auto"/>
            </w:pPr>
            <w:r>
              <w:rPr>
                <w:rFonts w:ascii="Carlito" w:hAnsi="Carlito"/>
                <w:b/>
                <w:i w:val="0"/>
                <w:color w:val="FFFFFF"/>
                <w:sz w:val="19"/>
              </w:rPr>
              <w:t>QPPV office</w:t>
            </w:r>
          </w:p>
        </w:tc>
        <w:tc>
          <w:tcPr>
            <w:tcW w:type="dxa" w:w="1310"/>
          </w:tcPr>
          <w:p>
            <w:pPr>
              <w:spacing w:before="20" w:after="20" w:line="254" w:lineRule="auto"/>
            </w:pPr>
            <w:r>
              <w:rPr>
                <w:rFonts w:ascii="Carlito" w:hAnsi="Carlito"/>
                <w:b/>
                <w:i w:val="0"/>
                <w:color w:val="FFFFFF"/>
                <w:sz w:val="19"/>
              </w:rPr>
              <w:t>Regional safety</w:t>
            </w:r>
          </w:p>
        </w:tc>
        <w:tc>
          <w:tcPr>
            <w:tcW w:type="dxa" w:w="1310"/>
          </w:tcPr>
          <w:p>
            <w:pPr>
              <w:spacing w:before="20" w:after="20" w:line="254" w:lineRule="auto"/>
            </w:pPr>
            <w:r>
              <w:rPr>
                <w:rFonts w:ascii="Carlito" w:hAnsi="Carlito"/>
                <w:b/>
                <w:i w:val="0"/>
                <w:color w:val="FFFFFF"/>
                <w:sz w:val="19"/>
              </w:rPr>
              <w:t>Regulatory affairs</w:t>
            </w:r>
          </w:p>
        </w:tc>
      </w:tr>
      <w:tr>
        <w:tc>
          <w:tcPr>
            <w:tcW w:type="dxa" w:w="4118"/>
          </w:tcPr>
          <w:p>
            <w:pPr>
              <w:spacing w:before="20" w:after="20" w:line="254" w:lineRule="auto"/>
            </w:pPr>
            <w:r>
              <w:rPr>
                <w:rFonts w:ascii="Carlito" w:hAnsi="Carlito"/>
                <w:b w:val="0"/>
                <w:i w:val="0"/>
                <w:sz w:val="19"/>
              </w:rPr>
              <w:t>Screen defined data sources on schedule</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R</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Clinically review and triage alerts</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Validate, or document non-validation</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Assess notification obligations and notify where required</w:t>
            </w:r>
          </w:p>
        </w:tc>
        <w:tc>
          <w:tcPr>
            <w:tcW w:type="dxa" w:w="1310"/>
          </w:tcPr>
          <w:p>
            <w:pPr>
              <w:spacing w:before="20" w:after="20" w:line="254" w:lineRule="auto"/>
            </w:pPr>
            <w:r>
              <w:rPr>
                <w:rFonts w:ascii="Carlito" w:hAnsi="Carlito"/>
                <w:b w:val="0"/>
                <w:i w:val="0"/>
                <w:sz w:val="19"/>
              </w:rPr>
              <w:t>R</w:t>
            </w:r>
          </w:p>
        </w:tc>
        <w:tc>
          <w:tcPr>
            <w:tcW w:type="dxa" w:w="1310"/>
          </w:tcPr>
          <w:p>
            <w:pPr>
              <w:spacing w:before="20" w:after="20" w:line="254" w:lineRule="auto"/>
            </w:pPr>
            <w:r>
              <w:rPr>
                <w:rFonts w:ascii="Carlito" w:hAnsi="Carlito"/>
                <w:b w:val="0"/>
                <w:i w:val="0"/>
                <w:sz w:val="19"/>
              </w:rPr>
              <w:t>A</w:t>
            </w:r>
          </w:p>
        </w:tc>
        <w:tc>
          <w:tcPr>
            <w:tcW w:type="dxa" w:w="1310"/>
          </w:tcPr>
          <w:p>
            <w:pPr>
              <w:spacing w:before="20" w:after="20" w:line="254" w:lineRule="auto"/>
            </w:pPr>
            <w:r>
              <w:rPr>
                <w:rFonts w:ascii="Carlito" w:hAnsi="Carlito"/>
                <w:b w:val="0"/>
                <w:i w:val="0"/>
                <w:sz w:val="19"/>
              </w:rPr>
              <w:t>R</w:t>
            </w:r>
          </w:p>
        </w:tc>
        <w:tc>
          <w:tcPr>
            <w:tcW w:type="dxa" w:w="1310"/>
          </w:tcPr>
          <w:p>
            <w:pPr>
              <w:spacing w:before="20" w:after="20" w:line="254" w:lineRule="auto"/>
            </w:pPr>
            <w:r>
              <w:rPr>
                <w:rFonts w:ascii="Carlito" w:hAnsi="Carlito"/>
                <w:b w:val="0"/>
                <w:i w:val="0"/>
                <w:sz w:val="19"/>
              </w:rPr>
              <w:t>C</w:t>
            </w:r>
          </w:p>
        </w:tc>
      </w:tr>
      <w:tr>
        <w:tc>
          <w:tcPr>
            <w:tcW w:type="dxa" w:w="4118"/>
          </w:tcPr>
          <w:p>
            <w:pPr>
              <w:spacing w:before="20" w:after="20" w:line="254" w:lineRule="auto"/>
            </w:pPr>
            <w:r>
              <w:rPr>
                <w:rFonts w:ascii="Carlito" w:hAnsi="Carlito"/>
                <w:b w:val="0"/>
                <w:i w:val="0"/>
                <w:sz w:val="19"/>
              </w:rPr>
              <w:t>Assign priority and target dates</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Define the assessment question and evidence plan</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r>
      <w:tr>
        <w:tc>
          <w:tcPr>
            <w:tcW w:type="dxa" w:w="4118"/>
          </w:tcPr>
          <w:p>
            <w:pPr>
              <w:spacing w:before="20" w:after="20" w:line="254" w:lineRule="auto"/>
            </w:pPr>
            <w:r>
              <w:rPr>
                <w:rFonts w:ascii="Carlito" w:hAnsi="Carlito"/>
                <w:b w:val="0"/>
                <w:i w:val="0"/>
                <w:sz w:val="19"/>
              </w:rPr>
              <w:t>Perform quantitative and epidemiologic analyses</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Agree the medical conclusion</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r>
      <w:tr>
        <w:tc>
          <w:tcPr>
            <w:tcW w:type="dxa" w:w="4118"/>
          </w:tcPr>
          <w:p>
            <w:pPr>
              <w:spacing w:before="20" w:after="20" w:line="254" w:lineRule="auto"/>
            </w:pPr>
            <w:r>
              <w:rPr>
                <w:rFonts w:ascii="Carlito" w:hAnsi="Carlito"/>
                <w:b w:val="0"/>
                <w:i w:val="0"/>
                <w:sz w:val="19"/>
              </w:rPr>
              <w:t>Implement labeling, RMP and communication actions</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R</w:t>
            </w:r>
          </w:p>
        </w:tc>
        <w:tc>
          <w:tcPr>
            <w:tcW w:type="dxa" w:w="1310"/>
          </w:tcPr>
          <w:p>
            <w:pPr>
              <w:spacing w:before="20" w:after="20" w:line="254" w:lineRule="auto"/>
            </w:pPr>
            <w:r>
              <w:rPr>
                <w:rFonts w:ascii="Carlito" w:hAnsi="Carlito"/>
                <w:b w:val="0"/>
                <w:i w:val="0"/>
                <w:sz w:val="19"/>
              </w:rPr>
              <w:t>R</w:t>
            </w:r>
          </w:p>
        </w:tc>
      </w:tr>
      <w:tr>
        <w:tc>
          <w:tcPr>
            <w:tcW w:type="dxa" w:w="4118"/>
          </w:tcPr>
          <w:p>
            <w:pPr>
              <w:spacing w:before="20" w:after="20" w:line="254" w:lineRule="auto"/>
            </w:pPr>
            <w:r>
              <w:rPr>
                <w:rFonts w:ascii="Carlito" w:hAnsi="Carlito"/>
                <w:b w:val="0"/>
                <w:i w:val="0"/>
                <w:sz w:val="19"/>
              </w:rPr>
              <w:t>Close the signal and set reopening triggers</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r>
    </w:tbl>
    <w:p>
      <w:pPr>
        <w:spacing w:after="40"/>
      </w:pPr>
    </w:p>
    <w:p>
      <w:pPr>
        <w:pStyle w:val="Heading2"/>
      </w:pPr>
      <w:r>
        <w:t>C.2 Supporting functions</w:t>
      </w:r>
    </w:p>
    <w:tbl>
      <w:tblPr>
        <w:tblStyle w:val="ToolkitTable"/>
        <w:tblW w:type="auto" w:w="0"/>
        <w:jc w:val="left"/>
        <w:tblLayout w:type="fixed"/>
        <w:tblLook w:val="04A0" w:firstRow="1" w:lastRow="0" w:firstColumn="0" w:lastColumn="0" w:noHBand="0" w:noVBand="1"/>
      </w:tblPr>
      <w:tblGrid>
        <w:gridCol w:w="4118"/>
        <w:gridCol w:w="1310"/>
        <w:gridCol w:w="1310"/>
        <w:gridCol w:w="1310"/>
        <w:gridCol w:w="1310"/>
      </w:tblGrid>
      <w:tr>
        <w:trPr>
          <w:tblHeader/>
        </w:trPr>
        <w:tc>
          <w:tcPr>
            <w:tcW w:type="dxa" w:w="4118"/>
          </w:tcPr>
          <w:p>
            <w:pPr>
              <w:spacing w:before="20" w:after="20" w:line="254" w:lineRule="auto"/>
            </w:pPr>
            <w:r>
              <w:rPr>
                <w:rFonts w:ascii="Carlito" w:hAnsi="Carlito"/>
                <w:b/>
                <w:i w:val="0"/>
                <w:color w:val="FFFFFF"/>
                <w:sz w:val="19"/>
              </w:rPr>
              <w:t>Activity</w:t>
            </w:r>
          </w:p>
        </w:tc>
        <w:tc>
          <w:tcPr>
            <w:tcW w:type="dxa" w:w="1310"/>
          </w:tcPr>
          <w:p>
            <w:pPr>
              <w:spacing w:before="20" w:after="20" w:line="254" w:lineRule="auto"/>
            </w:pPr>
            <w:r>
              <w:rPr>
                <w:rFonts w:ascii="Carlito" w:hAnsi="Carlito"/>
                <w:b/>
                <w:i w:val="0"/>
                <w:color w:val="FFFFFF"/>
                <w:sz w:val="19"/>
              </w:rPr>
              <w:t>Epidemiology</w:t>
            </w:r>
          </w:p>
        </w:tc>
        <w:tc>
          <w:tcPr>
            <w:tcW w:type="dxa" w:w="1310"/>
          </w:tcPr>
          <w:p>
            <w:pPr>
              <w:spacing w:before="20" w:after="20" w:line="254" w:lineRule="auto"/>
            </w:pPr>
            <w:r>
              <w:rPr>
                <w:rFonts w:ascii="Carlito" w:hAnsi="Carlito"/>
                <w:b/>
                <w:i w:val="0"/>
                <w:color w:val="FFFFFF"/>
                <w:sz w:val="19"/>
              </w:rPr>
              <w:t>Clinical development</w:t>
            </w:r>
          </w:p>
        </w:tc>
        <w:tc>
          <w:tcPr>
            <w:tcW w:type="dxa" w:w="1310"/>
          </w:tcPr>
          <w:p>
            <w:pPr>
              <w:spacing w:before="20" w:after="20" w:line="254" w:lineRule="auto"/>
            </w:pPr>
            <w:r>
              <w:rPr>
                <w:rFonts w:ascii="Carlito" w:hAnsi="Carlito"/>
                <w:b/>
                <w:i w:val="0"/>
                <w:color w:val="FFFFFF"/>
                <w:sz w:val="19"/>
              </w:rPr>
              <w:t>Labeling</w:t>
            </w:r>
          </w:p>
        </w:tc>
        <w:tc>
          <w:tcPr>
            <w:tcW w:type="dxa" w:w="1310"/>
          </w:tcPr>
          <w:p>
            <w:pPr>
              <w:spacing w:before="20" w:after="20" w:line="254" w:lineRule="auto"/>
            </w:pPr>
            <w:r>
              <w:rPr>
                <w:rFonts w:ascii="Carlito" w:hAnsi="Carlito"/>
                <w:b/>
                <w:i w:val="0"/>
                <w:color w:val="FFFFFF"/>
                <w:sz w:val="19"/>
              </w:rPr>
              <w:t>Local affiliates</w:t>
            </w:r>
          </w:p>
        </w:tc>
      </w:tr>
      <w:tr>
        <w:tc>
          <w:tcPr>
            <w:tcW w:type="dxa" w:w="4118"/>
          </w:tcPr>
          <w:p>
            <w:pPr>
              <w:spacing w:before="20" w:after="20" w:line="254" w:lineRule="auto"/>
            </w:pPr>
            <w:r>
              <w:rPr>
                <w:rFonts w:ascii="Carlito" w:hAnsi="Carlito"/>
                <w:b w:val="0"/>
                <w:i w:val="0"/>
                <w:sz w:val="19"/>
              </w:rPr>
              <w:t>Screen defined data sources on schedule</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C</w:t>
            </w:r>
          </w:p>
        </w:tc>
      </w:tr>
      <w:tr>
        <w:tc>
          <w:tcPr>
            <w:tcW w:type="dxa" w:w="4118"/>
          </w:tcPr>
          <w:p>
            <w:pPr>
              <w:spacing w:before="20" w:after="20" w:line="254" w:lineRule="auto"/>
            </w:pPr>
            <w:r>
              <w:rPr>
                <w:rFonts w:ascii="Carlito" w:hAnsi="Carlito"/>
                <w:b w:val="0"/>
                <w:i w:val="0"/>
                <w:sz w:val="19"/>
              </w:rPr>
              <w:t>Clinically review and triage alerts</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Validate, or document non-validation</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Assess notification obligations and notify where required</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Assign priority and target dates</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Define the assessment question and evidence plan</w:t>
            </w:r>
          </w:p>
        </w:tc>
        <w:tc>
          <w:tcPr>
            <w:tcW w:type="dxa" w:w="1310"/>
          </w:tcPr>
          <w:p>
            <w:pPr>
              <w:spacing w:before="20" w:after="20" w:line="254" w:lineRule="auto"/>
            </w:pPr>
            <w:r>
              <w:rPr>
                <w:rFonts w:ascii="Carlito" w:hAnsi="Carlito"/>
                <w:b w:val="0"/>
                <w:i w:val="0"/>
                <w:sz w:val="19"/>
              </w:rPr>
              <w:t>R</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Perform quantitative and epidemiologic analyses</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Agree the medical conclusion</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r>
      <w:tr>
        <w:tc>
          <w:tcPr>
            <w:tcW w:type="dxa" w:w="4118"/>
          </w:tcPr>
          <w:p>
            <w:pPr>
              <w:spacing w:before="20" w:after="20" w:line="254" w:lineRule="auto"/>
            </w:pPr>
            <w:r>
              <w:rPr>
                <w:rFonts w:ascii="Carlito" w:hAnsi="Carlito"/>
                <w:b w:val="0"/>
                <w:i w:val="0"/>
                <w:sz w:val="19"/>
              </w:rPr>
              <w:t>Implement labeling, RMP and communication actions</w:t>
            </w:r>
          </w:p>
        </w:tc>
        <w:tc>
          <w:tcPr>
            <w:tcW w:type="dxa" w:w="1310"/>
          </w:tcPr>
          <w:p>
            <w:pPr>
              <w:spacing w:before="20" w:after="20" w:line="254" w:lineRule="auto"/>
            </w:pPr>
            <w:r>
              <w:rPr>
                <w:rFonts w:ascii="Carlito" w:hAnsi="Carlito"/>
                <w:b w:val="0"/>
                <w:i w:val="0"/>
                <w:sz w:val="19"/>
              </w:rPr>
              <w:t>I</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A/R</w:t>
            </w:r>
          </w:p>
        </w:tc>
        <w:tc>
          <w:tcPr>
            <w:tcW w:type="dxa" w:w="1310"/>
          </w:tcPr>
          <w:p>
            <w:pPr>
              <w:spacing w:before="20" w:after="20" w:line="254" w:lineRule="auto"/>
            </w:pPr>
            <w:r>
              <w:rPr>
                <w:rFonts w:ascii="Carlito" w:hAnsi="Carlito"/>
                <w:b w:val="0"/>
                <w:i w:val="0"/>
                <w:sz w:val="19"/>
              </w:rPr>
              <w:t>R</w:t>
            </w:r>
          </w:p>
        </w:tc>
      </w:tr>
      <w:tr>
        <w:tc>
          <w:tcPr>
            <w:tcW w:type="dxa" w:w="4118"/>
          </w:tcPr>
          <w:p>
            <w:pPr>
              <w:spacing w:before="20" w:after="20" w:line="254" w:lineRule="auto"/>
            </w:pPr>
            <w:r>
              <w:rPr>
                <w:rFonts w:ascii="Carlito" w:hAnsi="Carlito"/>
                <w:b w:val="0"/>
                <w:i w:val="0"/>
                <w:sz w:val="19"/>
              </w:rPr>
              <w:t>Close the signal and set reopening triggers</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C</w:t>
            </w:r>
          </w:p>
        </w:tc>
        <w:tc>
          <w:tcPr>
            <w:tcW w:type="dxa" w:w="1310"/>
          </w:tcPr>
          <w:p>
            <w:pPr>
              <w:spacing w:before="20" w:after="20" w:line="254" w:lineRule="auto"/>
            </w:pPr>
            <w:r>
              <w:rPr>
                <w:rFonts w:ascii="Carlito" w:hAnsi="Carlito"/>
                <w:b w:val="0"/>
                <w:i w:val="0"/>
                <w:sz w:val="19"/>
              </w:rPr>
              <w:t>I</w:t>
            </w:r>
          </w:p>
        </w:tc>
      </w:tr>
    </w:tbl>
    <w:p>
      <w:pPr>
        <w:spacing w:after="40"/>
      </w:pPr>
    </w:p>
    <w:p>
      <w:pPr>
        <w:pStyle w:val="Heading1"/>
      </w:pPr>
      <w:r>
        <w:t>Part D — Interfaces, as two-way obligations</w:t>
      </w:r>
    </w:p>
    <w:tbl>
      <w:tblPr>
        <w:tblStyle w:val="ToolkitTable"/>
        <w:tblW w:type="auto" w:w="0"/>
        <w:jc w:val="left"/>
        <w:tblLayout w:type="fixed"/>
        <w:tblLook w:val="04A0" w:firstRow="1" w:lastRow="0" w:firstColumn="0" w:lastColumn="0" w:noHBand="0" w:noVBand="1"/>
      </w:tblPr>
      <w:tblGrid>
        <w:gridCol w:w="2059"/>
        <w:gridCol w:w="3650"/>
        <w:gridCol w:w="3650"/>
      </w:tblGrid>
      <w:tr>
        <w:trPr>
          <w:tblHeader/>
        </w:trPr>
        <w:tc>
          <w:tcPr>
            <w:tcW w:type="dxa" w:w="2059"/>
          </w:tcPr>
          <w:p>
            <w:pPr>
              <w:spacing w:before="20" w:after="20" w:line="254" w:lineRule="auto"/>
            </w:pPr>
            <w:r>
              <w:rPr>
                <w:rFonts w:ascii="Carlito" w:hAnsi="Carlito"/>
                <w:b/>
                <w:i w:val="0"/>
                <w:color w:val="FFFFFF"/>
                <w:sz w:val="19"/>
              </w:rPr>
              <w:t>Counterpart function</w:t>
            </w:r>
          </w:p>
        </w:tc>
        <w:tc>
          <w:tcPr>
            <w:tcW w:type="dxa" w:w="3650"/>
          </w:tcPr>
          <w:p>
            <w:pPr>
              <w:spacing w:before="20" w:after="20" w:line="254" w:lineRule="auto"/>
            </w:pPr>
            <w:r>
              <w:rPr>
                <w:rFonts w:ascii="Carlito" w:hAnsi="Carlito"/>
                <w:b/>
                <w:i w:val="0"/>
                <w:color w:val="FFFFFF"/>
                <w:sz w:val="19"/>
              </w:rPr>
              <w:t>What signal management receives</w:t>
            </w:r>
          </w:p>
        </w:tc>
        <w:tc>
          <w:tcPr>
            <w:tcW w:type="dxa" w:w="3650"/>
          </w:tcPr>
          <w:p>
            <w:pPr>
              <w:spacing w:before="20" w:after="20" w:line="254" w:lineRule="auto"/>
            </w:pPr>
            <w:r>
              <w:rPr>
                <w:rFonts w:ascii="Carlito" w:hAnsi="Carlito"/>
                <w:b/>
                <w:i w:val="0"/>
                <w:color w:val="FFFFFF"/>
                <w:sz w:val="19"/>
              </w:rPr>
              <w:t>What signal management owes back</w:t>
            </w:r>
          </w:p>
        </w:tc>
      </w:tr>
      <w:tr>
        <w:tc>
          <w:tcPr>
            <w:tcW w:type="dxa" w:w="2059"/>
          </w:tcPr>
          <w:p>
            <w:pPr>
              <w:spacing w:before="20" w:after="20" w:line="254" w:lineRule="auto"/>
            </w:pPr>
            <w:r>
              <w:rPr>
                <w:rFonts w:ascii="Carlito" w:hAnsi="Carlito"/>
                <w:b w:val="0"/>
                <w:i w:val="0"/>
                <w:sz w:val="19"/>
              </w:rPr>
              <w:t>Case processing</w:t>
            </w:r>
          </w:p>
        </w:tc>
        <w:tc>
          <w:tcPr>
            <w:tcW w:type="dxa" w:w="3650"/>
          </w:tcPr>
          <w:p>
            <w:pPr>
              <w:spacing w:before="20" w:after="20" w:line="254" w:lineRule="auto"/>
            </w:pPr>
            <w:r>
              <w:rPr>
                <w:rFonts w:ascii="Carlito" w:hAnsi="Carlito"/>
                <w:b w:val="0"/>
                <w:i w:val="0"/>
                <w:sz w:val="19"/>
              </w:rPr>
              <w:t>Cases and coding on which retrieval depends</w:t>
            </w:r>
          </w:p>
        </w:tc>
        <w:tc>
          <w:tcPr>
            <w:tcW w:type="dxa" w:w="3650"/>
          </w:tcPr>
          <w:p>
            <w:pPr>
              <w:spacing w:before="20" w:after="20" w:line="254" w:lineRule="auto"/>
            </w:pPr>
            <w:r>
              <w:rPr>
                <w:rFonts w:ascii="Carlito" w:hAnsi="Carlito"/>
                <w:b w:val="0"/>
                <w:i w:val="0"/>
                <w:sz w:val="19"/>
              </w:rPr>
              <w:t>Case definitions and targeted follow-up questions</w:t>
            </w:r>
          </w:p>
        </w:tc>
      </w:tr>
      <w:tr>
        <w:tc>
          <w:tcPr>
            <w:tcW w:type="dxa" w:w="2059"/>
          </w:tcPr>
          <w:p>
            <w:pPr>
              <w:spacing w:before="20" w:after="20" w:line="254" w:lineRule="auto"/>
            </w:pPr>
            <w:r>
              <w:rPr>
                <w:rFonts w:ascii="Carlito" w:hAnsi="Carlito"/>
                <w:b w:val="0"/>
                <w:i w:val="0"/>
                <w:sz w:val="19"/>
              </w:rPr>
              <w:t>Literature surveillance</w:t>
            </w:r>
          </w:p>
        </w:tc>
        <w:tc>
          <w:tcPr>
            <w:tcW w:type="dxa" w:w="3650"/>
          </w:tcPr>
          <w:p>
            <w:pPr>
              <w:spacing w:before="20" w:after="20" w:line="254" w:lineRule="auto"/>
            </w:pPr>
            <w:r>
              <w:rPr>
                <w:rFonts w:ascii="Carlito" w:hAnsi="Carlito"/>
                <w:b w:val="0"/>
                <w:i w:val="0"/>
                <w:sz w:val="19"/>
              </w:rPr>
              <w:t>Articles from routine and targeted searches</w:t>
            </w:r>
          </w:p>
        </w:tc>
        <w:tc>
          <w:tcPr>
            <w:tcW w:type="dxa" w:w="3650"/>
          </w:tcPr>
          <w:p>
            <w:pPr>
              <w:spacing w:before="20" w:after="20" w:line="254" w:lineRule="auto"/>
            </w:pPr>
            <w:r>
              <w:rPr>
                <w:rFonts w:ascii="Carlito" w:hAnsi="Carlito"/>
                <w:b w:val="0"/>
                <w:i w:val="0"/>
                <w:sz w:val="19"/>
              </w:rPr>
              <w:t>The broader search terms a live signal requires</w:t>
            </w:r>
          </w:p>
        </w:tc>
      </w:tr>
      <w:tr>
        <w:tc>
          <w:tcPr>
            <w:tcW w:type="dxa" w:w="2059"/>
          </w:tcPr>
          <w:p>
            <w:pPr>
              <w:spacing w:before="20" w:after="20" w:line="254" w:lineRule="auto"/>
            </w:pPr>
            <w:r>
              <w:rPr>
                <w:rFonts w:ascii="Carlito" w:hAnsi="Carlito"/>
                <w:b w:val="0"/>
                <w:i w:val="0"/>
                <w:sz w:val="19"/>
              </w:rPr>
              <w:t>Aggregate reporting</w:t>
            </w:r>
          </w:p>
        </w:tc>
        <w:tc>
          <w:tcPr>
            <w:tcW w:type="dxa" w:w="3650"/>
          </w:tcPr>
          <w:p>
            <w:pPr>
              <w:spacing w:before="20" w:after="20" w:line="254" w:lineRule="auto"/>
            </w:pPr>
            <w:r>
              <w:rPr>
                <w:rFonts w:ascii="Carlito" w:hAnsi="Carlito"/>
                <w:b w:val="0"/>
                <w:i w:val="0"/>
                <w:sz w:val="19"/>
              </w:rPr>
              <w:t>Data lock points and periodic report schedule</w:t>
            </w:r>
          </w:p>
        </w:tc>
        <w:tc>
          <w:tcPr>
            <w:tcW w:type="dxa" w:w="3650"/>
          </w:tcPr>
          <w:p>
            <w:pPr>
              <w:spacing w:before="20" w:after="20" w:line="254" w:lineRule="auto"/>
            </w:pPr>
            <w:r>
              <w:rPr>
                <w:rFonts w:ascii="Carlito" w:hAnsi="Carlito"/>
                <w:b w:val="0"/>
                <w:i w:val="0"/>
                <w:sz w:val="19"/>
              </w:rPr>
              <w:t>Signal conclusions in the classification language the periodic report will use</w:t>
            </w:r>
          </w:p>
        </w:tc>
      </w:tr>
      <w:tr>
        <w:tc>
          <w:tcPr>
            <w:tcW w:type="dxa" w:w="2059"/>
          </w:tcPr>
          <w:p>
            <w:pPr>
              <w:spacing w:before="20" w:after="20" w:line="254" w:lineRule="auto"/>
            </w:pPr>
            <w:r>
              <w:rPr>
                <w:rFonts w:ascii="Carlito" w:hAnsi="Carlito"/>
                <w:b w:val="0"/>
                <w:i w:val="0"/>
                <w:sz w:val="19"/>
              </w:rPr>
              <w:t>Risk management</w:t>
            </w:r>
          </w:p>
        </w:tc>
        <w:tc>
          <w:tcPr>
            <w:tcW w:type="dxa" w:w="3650"/>
          </w:tcPr>
          <w:p>
            <w:pPr>
              <w:spacing w:before="20" w:after="20" w:line="254" w:lineRule="auto"/>
            </w:pPr>
            <w:r>
              <w:rPr>
                <w:rFonts w:ascii="Carlito" w:hAnsi="Carlito"/>
                <w:b w:val="0"/>
                <w:i w:val="0"/>
                <w:sz w:val="19"/>
              </w:rPr>
              <w:t>RMP versions and milestones</w:t>
            </w:r>
          </w:p>
        </w:tc>
        <w:tc>
          <w:tcPr>
            <w:tcW w:type="dxa" w:w="3650"/>
          </w:tcPr>
          <w:p>
            <w:pPr>
              <w:spacing w:before="20" w:after="20" w:line="254" w:lineRule="auto"/>
            </w:pPr>
            <w:r>
              <w:rPr>
                <w:rFonts w:ascii="Carlito" w:hAnsi="Carlito"/>
                <w:b w:val="0"/>
                <w:i w:val="0"/>
                <w:sz w:val="19"/>
              </w:rPr>
              <w:t>Notice when a risk classification changes, before the next RMP update</w:t>
            </w:r>
          </w:p>
        </w:tc>
      </w:tr>
      <w:tr>
        <w:tc>
          <w:tcPr>
            <w:tcW w:type="dxa" w:w="2059"/>
          </w:tcPr>
          <w:p>
            <w:pPr>
              <w:spacing w:before="20" w:after="20" w:line="254" w:lineRule="auto"/>
            </w:pPr>
            <w:r>
              <w:rPr>
                <w:rFonts w:ascii="Carlito" w:hAnsi="Carlito"/>
                <w:b w:val="0"/>
                <w:i w:val="0"/>
                <w:sz w:val="19"/>
              </w:rPr>
              <w:t>Labeling</w:t>
            </w:r>
          </w:p>
        </w:tc>
        <w:tc>
          <w:tcPr>
            <w:tcW w:type="dxa" w:w="3650"/>
          </w:tcPr>
          <w:p>
            <w:pPr>
              <w:spacing w:before="20" w:after="20" w:line="254" w:lineRule="auto"/>
            </w:pPr>
            <w:r>
              <w:rPr>
                <w:rFonts w:ascii="Carlito" w:hAnsi="Carlito"/>
                <w:b w:val="0"/>
                <w:i w:val="0"/>
                <w:sz w:val="19"/>
              </w:rPr>
              <w:t>Confirmation of local implementation with effective dates</w:t>
            </w:r>
          </w:p>
        </w:tc>
        <w:tc>
          <w:tcPr>
            <w:tcW w:type="dxa" w:w="3650"/>
          </w:tcPr>
          <w:p>
            <w:pPr>
              <w:spacing w:before="20" w:after="20" w:line="254" w:lineRule="auto"/>
            </w:pPr>
            <w:r>
              <w:rPr>
                <w:rFonts w:ascii="Carlito" w:hAnsi="Carlito"/>
                <w:b w:val="0"/>
                <w:i w:val="0"/>
                <w:sz w:val="19"/>
              </w:rPr>
              <w:t>The core safety text change and its source signal identifier</w:t>
            </w:r>
          </w:p>
        </w:tc>
      </w:tr>
      <w:tr>
        <w:tc>
          <w:tcPr>
            <w:tcW w:type="dxa" w:w="2059"/>
          </w:tcPr>
          <w:p>
            <w:pPr>
              <w:spacing w:before="20" w:after="20" w:line="254" w:lineRule="auto"/>
            </w:pPr>
            <w:r>
              <w:rPr>
                <w:rFonts w:ascii="Carlito" w:hAnsi="Carlito"/>
                <w:b w:val="0"/>
                <w:i w:val="0"/>
                <w:sz w:val="19"/>
              </w:rPr>
              <w:t>Epidemiology</w:t>
            </w:r>
          </w:p>
        </w:tc>
        <w:tc>
          <w:tcPr>
            <w:tcW w:type="dxa" w:w="3650"/>
          </w:tcPr>
          <w:p>
            <w:pPr>
              <w:spacing w:before="20" w:after="20" w:line="254" w:lineRule="auto"/>
            </w:pPr>
            <w:r>
              <w:rPr>
                <w:rFonts w:ascii="Carlito" w:hAnsi="Carlito"/>
                <w:b w:val="0"/>
                <w:i w:val="0"/>
                <w:sz w:val="19"/>
              </w:rPr>
              <w:t>Feasibility advice before a protocol is written</w:t>
            </w:r>
          </w:p>
        </w:tc>
        <w:tc>
          <w:tcPr>
            <w:tcW w:type="dxa" w:w="3650"/>
          </w:tcPr>
          <w:p>
            <w:pPr>
              <w:spacing w:before="20" w:after="20" w:line="254" w:lineRule="auto"/>
            </w:pPr>
            <w:r>
              <w:rPr>
                <w:rFonts w:ascii="Carlito" w:hAnsi="Carlito"/>
                <w:b w:val="0"/>
                <w:i w:val="0"/>
                <w:sz w:val="19"/>
              </w:rPr>
              <w:t>The assessment question in answerable form</w:t>
            </w:r>
          </w:p>
        </w:tc>
      </w:tr>
      <w:tr>
        <w:tc>
          <w:tcPr>
            <w:tcW w:type="dxa" w:w="2059"/>
          </w:tcPr>
          <w:p>
            <w:pPr>
              <w:spacing w:before="20" w:after="20" w:line="254" w:lineRule="auto"/>
            </w:pPr>
            <w:r>
              <w:rPr>
                <w:rFonts w:ascii="Carlito" w:hAnsi="Carlito"/>
                <w:b w:val="0"/>
                <w:i w:val="0"/>
                <w:sz w:val="19"/>
              </w:rPr>
              <w:t>Clinical development</w:t>
            </w:r>
          </w:p>
        </w:tc>
        <w:tc>
          <w:tcPr>
            <w:tcW w:type="dxa" w:w="3650"/>
          </w:tcPr>
          <w:p>
            <w:pPr>
              <w:spacing w:before="20" w:after="20" w:line="254" w:lineRule="auto"/>
            </w:pPr>
            <w:r>
              <w:rPr>
                <w:rFonts w:ascii="Carlito" w:hAnsi="Carlito"/>
                <w:b w:val="0"/>
                <w:i w:val="0"/>
                <w:sz w:val="19"/>
              </w:rPr>
              <w:t>Trial findings relevant to detection</w:t>
            </w:r>
          </w:p>
        </w:tc>
        <w:tc>
          <w:tcPr>
            <w:tcW w:type="dxa" w:w="3650"/>
          </w:tcPr>
          <w:p>
            <w:pPr>
              <w:spacing w:before="20" w:after="20" w:line="254" w:lineRule="auto"/>
            </w:pPr>
            <w:r>
              <w:rPr>
                <w:rFonts w:ascii="Carlito" w:hAnsi="Carlito"/>
                <w:b w:val="0"/>
                <w:i w:val="0"/>
                <w:sz w:val="19"/>
              </w:rPr>
              <w:t>Any postmarketing signal affecting monitoring, the investigator's brochure, or consent</w:t>
            </w:r>
          </w:p>
        </w:tc>
      </w:tr>
      <w:tr>
        <w:tc>
          <w:tcPr>
            <w:tcW w:type="dxa" w:w="2059"/>
          </w:tcPr>
          <w:p>
            <w:pPr>
              <w:spacing w:before="20" w:after="20" w:line="254" w:lineRule="auto"/>
            </w:pPr>
            <w:r>
              <w:rPr>
                <w:rFonts w:ascii="Carlito" w:hAnsi="Carlito"/>
                <w:b w:val="0"/>
                <w:i w:val="0"/>
                <w:sz w:val="19"/>
              </w:rPr>
              <w:t>Quality</w:t>
            </w:r>
          </w:p>
        </w:tc>
        <w:tc>
          <w:tcPr>
            <w:tcW w:type="dxa" w:w="3650"/>
          </w:tcPr>
          <w:p>
            <w:pPr>
              <w:spacing w:before="20" w:after="20" w:line="254" w:lineRule="auto"/>
            </w:pPr>
            <w:r>
              <w:rPr>
                <w:rFonts w:ascii="Carlito" w:hAnsi="Carlito"/>
                <w:b w:val="0"/>
                <w:i w:val="0"/>
                <w:sz w:val="19"/>
              </w:rPr>
              <w:t>Deviation and CAPA handling</w:t>
            </w:r>
          </w:p>
        </w:tc>
        <w:tc>
          <w:tcPr>
            <w:tcW w:type="dxa" w:w="3650"/>
          </w:tcPr>
          <w:p>
            <w:pPr>
              <w:spacing w:before="20" w:after="20" w:line="254" w:lineRule="auto"/>
            </w:pPr>
            <w:r>
              <w:rPr>
                <w:rFonts w:ascii="Carlito" w:hAnsi="Carlito"/>
                <w:b w:val="0"/>
                <w:i w:val="0"/>
                <w:sz w:val="19"/>
              </w:rPr>
              <w:t>Deviations arising in the signal process, with impact assessment</w:t>
            </w:r>
          </w:p>
        </w:tc>
      </w:tr>
      <w:tr>
        <w:tc>
          <w:tcPr>
            <w:tcW w:type="dxa" w:w="2059"/>
          </w:tcPr>
          <w:p>
            <w:pPr>
              <w:spacing w:before="20" w:after="20" w:line="254" w:lineRule="auto"/>
            </w:pPr>
            <w:r>
              <w:rPr>
                <w:rFonts w:ascii="Carlito" w:hAnsi="Carlito"/>
                <w:b w:val="0"/>
                <w:i w:val="0"/>
                <w:sz w:val="19"/>
              </w:rPr>
              <w:t>Regulatory intelligence</w:t>
            </w:r>
          </w:p>
        </w:tc>
        <w:tc>
          <w:tcPr>
            <w:tcW w:type="dxa" w:w="3650"/>
          </w:tcPr>
          <w:p>
            <w:pPr>
              <w:spacing w:before="20" w:after="20" w:line="254" w:lineRule="auto"/>
            </w:pPr>
            <w:r>
              <w:rPr>
                <w:rFonts w:ascii="Carlito" w:hAnsi="Carlito"/>
                <w:b w:val="0"/>
                <w:i w:val="0"/>
                <w:sz w:val="19"/>
              </w:rPr>
              <w:t>Class actions, competitor label changes, authority publications</w:t>
            </w:r>
          </w:p>
        </w:tc>
        <w:tc>
          <w:tcPr>
            <w:tcW w:type="dxa" w:w="3650"/>
          </w:tcPr>
          <w:p>
            <w:pPr>
              <w:spacing w:before="20" w:after="20" w:line="254" w:lineRule="auto"/>
            </w:pPr>
            <w:r>
              <w:rPr>
                <w:rFonts w:ascii="Carlito" w:hAnsi="Carlito"/>
                <w:b w:val="0"/>
                <w:i w:val="0"/>
                <w:sz w:val="19"/>
              </w:rPr>
              <w:t>Requests for targeted monitoring of a named issue</w:t>
            </w:r>
          </w:p>
        </w:tc>
      </w:tr>
    </w:tbl>
    <w:p>
      <w:pPr>
        <w:spacing w:after="40"/>
      </w:pPr>
    </w:p>
    <w:p>
      <w:pPr>
        <w:pStyle w:val="Heading1"/>
      </w:pPr>
      <w:r>
        <w:t>Part E — Procedure drafting checklist</w:t>
      </w:r>
    </w:p>
    <w:tbl>
      <w:tblPr>
        <w:tblStyle w:val="ToolkitTable"/>
        <w:tblW w:type="auto" w:w="0"/>
        <w:jc w:val="left"/>
        <w:tblLayout w:type="fixed"/>
        <w:tblLook w:val="04A0" w:firstRow="1" w:lastRow="0" w:firstColumn="0" w:lastColumn="0" w:noHBand="0" w:noVBand="1"/>
      </w:tblPr>
      <w:tblGrid>
        <w:gridCol w:w="562"/>
        <w:gridCol w:w="7114"/>
        <w:gridCol w:w="1685"/>
      </w:tblGrid>
      <w:tr>
        <w:trPr>
          <w:tblHeader/>
        </w:trPr>
        <w:tc>
          <w:tcPr>
            <w:tcW w:type="dxa" w:w="562"/>
          </w:tcPr>
          <w:p>
            <w:pPr>
              <w:spacing w:before="20" w:after="20" w:line="254" w:lineRule="auto"/>
            </w:pPr>
            <w:r>
              <w:rPr>
                <w:rFonts w:ascii="Carlito" w:hAnsi="Carlito"/>
                <w:b/>
                <w:i w:val="0"/>
                <w:color w:val="FFFFFF"/>
                <w:sz w:val="19"/>
              </w:rPr>
              <w:t>#</w:t>
            </w:r>
          </w:p>
        </w:tc>
        <w:tc>
          <w:tcPr>
            <w:tcW w:type="dxa" w:w="7114"/>
          </w:tcPr>
          <w:p>
            <w:pPr>
              <w:spacing w:before="20" w:after="20" w:line="254" w:lineRule="auto"/>
            </w:pPr>
            <w:r>
              <w:rPr>
                <w:rFonts w:ascii="Carlito" w:hAnsi="Carlito"/>
                <w:b/>
                <w:i w:val="0"/>
                <w:color w:val="FFFFFF"/>
                <w:sz w:val="19"/>
              </w:rPr>
              <w:t>Check</w:t>
            </w:r>
          </w:p>
        </w:tc>
        <w:tc>
          <w:tcPr>
            <w:tcW w:type="dxa" w:w="1685"/>
          </w:tcPr>
          <w:p>
            <w:pPr>
              <w:spacing w:before="20" w:after="20" w:line="254" w:lineRule="auto"/>
            </w:pPr>
            <w:r>
              <w:rPr>
                <w:rFonts w:ascii="Carlito" w:hAnsi="Carlito"/>
                <w:b/>
                <w:i w:val="0"/>
                <w:color w:val="FFFFFF"/>
                <w:sz w:val="19"/>
              </w:rPr>
              <w:t>Met?</w:t>
            </w:r>
          </w:p>
        </w:tc>
      </w:tr>
      <w:tr>
        <w:tc>
          <w:tcPr>
            <w:tcW w:type="dxa" w:w="562"/>
          </w:tcPr>
          <w:p>
            <w:pPr>
              <w:spacing w:before="20" w:after="20" w:line="254" w:lineRule="auto"/>
            </w:pPr>
            <w:r>
              <w:rPr>
                <w:rFonts w:ascii="Carlito" w:hAnsi="Carlito"/>
                <w:b w:val="0"/>
                <w:i w:val="0"/>
                <w:sz w:val="19"/>
              </w:rPr>
              <w:t>1</w:t>
            </w:r>
          </w:p>
        </w:tc>
        <w:tc>
          <w:tcPr>
            <w:tcW w:type="dxa" w:w="7114"/>
          </w:tcPr>
          <w:p>
            <w:pPr>
              <w:spacing w:before="20" w:after="20" w:line="254" w:lineRule="auto"/>
            </w:pPr>
            <w:r>
              <w:rPr>
                <w:rFonts w:ascii="Carlito" w:hAnsi="Carlito"/>
                <w:b w:val="0"/>
                <w:i w:val="0"/>
                <w:sz w:val="19"/>
              </w:rPr>
              <w:t>Every section states a specific arrangement, not a restatement of guidance</w:t>
            </w:r>
          </w:p>
        </w:tc>
        <w:tc>
          <w:tcPr>
            <w:tcW w:type="dxa" w:w="1685"/>
          </w:tcPr>
          <w:p>
            <w:pPr>
              <w:spacing w:before="20" w:after="20" w:line="254" w:lineRule="auto"/>
            </w:pPr>
          </w:p>
        </w:tc>
      </w:tr>
      <w:tr>
        <w:tc>
          <w:tcPr>
            <w:tcW w:type="dxa" w:w="562"/>
          </w:tcPr>
          <w:p>
            <w:pPr>
              <w:spacing w:before="20" w:after="20" w:line="254" w:lineRule="auto"/>
            </w:pPr>
            <w:r>
              <w:rPr>
                <w:rFonts w:ascii="Carlito" w:hAnsi="Carlito"/>
                <w:b w:val="0"/>
                <w:i w:val="0"/>
                <w:sz w:val="19"/>
              </w:rPr>
              <w:t>2</w:t>
            </w:r>
          </w:p>
        </w:tc>
        <w:tc>
          <w:tcPr>
            <w:tcW w:type="dxa" w:w="7114"/>
          </w:tcPr>
          <w:p>
            <w:pPr>
              <w:spacing w:before="20" w:after="20" w:line="254" w:lineRule="auto"/>
            </w:pPr>
            <w:r>
              <w:rPr>
                <w:rFonts w:ascii="Carlito" w:hAnsi="Carlito"/>
                <w:b w:val="0"/>
                <w:i w:val="0"/>
                <w:sz w:val="19"/>
              </w:rPr>
              <w:t>Every company-designed threshold, score and timeline is explicitly labeled as such</w:t>
            </w:r>
          </w:p>
        </w:tc>
        <w:tc>
          <w:tcPr>
            <w:tcW w:type="dxa" w:w="1685"/>
          </w:tcPr>
          <w:p>
            <w:pPr>
              <w:spacing w:before="20" w:after="20" w:line="254" w:lineRule="auto"/>
            </w:pPr>
          </w:p>
        </w:tc>
      </w:tr>
      <w:tr>
        <w:tc>
          <w:tcPr>
            <w:tcW w:type="dxa" w:w="562"/>
          </w:tcPr>
          <w:p>
            <w:pPr>
              <w:spacing w:before="20" w:after="20" w:line="254" w:lineRule="auto"/>
            </w:pPr>
            <w:r>
              <w:rPr>
                <w:rFonts w:ascii="Carlito" w:hAnsi="Carlito"/>
                <w:b w:val="0"/>
                <w:i w:val="0"/>
                <w:sz w:val="19"/>
              </w:rPr>
              <w:t>3</w:t>
            </w:r>
          </w:p>
        </w:tc>
        <w:tc>
          <w:tcPr>
            <w:tcW w:type="dxa" w:w="7114"/>
          </w:tcPr>
          <w:p>
            <w:pPr>
              <w:spacing w:before="20" w:after="20" w:line="254" w:lineRule="auto"/>
            </w:pPr>
            <w:r>
              <w:rPr>
                <w:rFonts w:ascii="Carlito" w:hAnsi="Carlito"/>
                <w:b w:val="0"/>
                <w:i w:val="0"/>
                <w:sz w:val="19"/>
              </w:rPr>
              <w:t>The procedure states what the system does NOT do, and why</w:t>
            </w:r>
          </w:p>
          <w:p>
            <w:pPr>
              <w:spacing w:before="20" w:after="20" w:line="254" w:lineRule="auto"/>
            </w:pPr>
            <w:r>
              <w:rPr>
                <w:rFonts w:ascii="Carlito" w:hAnsi="Carlito"/>
                <w:b w:val="0"/>
                <w:i/>
                <w:color w:val="4A5B63"/>
                <w:sz w:val="17"/>
              </w:rPr>
              <w:t>For example: literature screening excludes non-indexed local journals, with the justification recorded.</w:t>
            </w:r>
          </w:p>
        </w:tc>
        <w:tc>
          <w:tcPr>
            <w:tcW w:type="dxa" w:w="1685"/>
          </w:tcPr>
          <w:p>
            <w:pPr>
              <w:spacing w:before="20" w:after="20" w:line="254" w:lineRule="auto"/>
            </w:pPr>
          </w:p>
        </w:tc>
      </w:tr>
      <w:tr>
        <w:tc>
          <w:tcPr>
            <w:tcW w:type="dxa" w:w="562"/>
          </w:tcPr>
          <w:p>
            <w:pPr>
              <w:spacing w:before="20" w:after="20" w:line="254" w:lineRule="auto"/>
            </w:pPr>
            <w:r>
              <w:rPr>
                <w:rFonts w:ascii="Carlito" w:hAnsi="Carlito"/>
                <w:b w:val="0"/>
                <w:i w:val="0"/>
                <w:sz w:val="19"/>
              </w:rPr>
              <w:t>4</w:t>
            </w:r>
          </w:p>
        </w:tc>
        <w:tc>
          <w:tcPr>
            <w:tcW w:type="dxa" w:w="7114"/>
          </w:tcPr>
          <w:p>
            <w:pPr>
              <w:spacing w:before="20" w:after="20" w:line="254" w:lineRule="auto"/>
            </w:pPr>
            <w:r>
              <w:rPr>
                <w:rFonts w:ascii="Carlito" w:hAnsi="Carlito"/>
                <w:b w:val="0"/>
                <w:i w:val="0"/>
                <w:sz w:val="19"/>
              </w:rPr>
              <w:t>Non-validation is required to be documented as fully as validation</w:t>
            </w:r>
          </w:p>
        </w:tc>
        <w:tc>
          <w:tcPr>
            <w:tcW w:type="dxa" w:w="1685"/>
          </w:tcPr>
          <w:p>
            <w:pPr>
              <w:spacing w:before="20" w:after="20" w:line="254" w:lineRule="auto"/>
            </w:pPr>
          </w:p>
        </w:tc>
      </w:tr>
      <w:tr>
        <w:tc>
          <w:tcPr>
            <w:tcW w:type="dxa" w:w="562"/>
          </w:tcPr>
          <w:p>
            <w:pPr>
              <w:spacing w:before="20" w:after="20" w:line="254" w:lineRule="auto"/>
            </w:pPr>
            <w:r>
              <w:rPr>
                <w:rFonts w:ascii="Carlito" w:hAnsi="Carlito"/>
                <w:b w:val="0"/>
                <w:i w:val="0"/>
                <w:sz w:val="19"/>
              </w:rPr>
              <w:t>5</w:t>
            </w:r>
          </w:p>
        </w:tc>
        <w:tc>
          <w:tcPr>
            <w:tcW w:type="dxa" w:w="7114"/>
          </w:tcPr>
          <w:p>
            <w:pPr>
              <w:spacing w:before="20" w:after="20" w:line="254" w:lineRule="auto"/>
            </w:pPr>
            <w:r>
              <w:rPr>
                <w:rFonts w:ascii="Carlito" w:hAnsi="Carlito"/>
                <w:b w:val="0"/>
                <w:i w:val="0"/>
                <w:sz w:val="19"/>
              </w:rPr>
              <w:t>The urgent path names an individual and a maximum elapsed time</w:t>
            </w:r>
          </w:p>
        </w:tc>
        <w:tc>
          <w:tcPr>
            <w:tcW w:type="dxa" w:w="1685"/>
          </w:tcPr>
          <w:p>
            <w:pPr>
              <w:spacing w:before="20" w:after="20" w:line="254" w:lineRule="auto"/>
            </w:pPr>
          </w:p>
        </w:tc>
      </w:tr>
      <w:tr>
        <w:tc>
          <w:tcPr>
            <w:tcW w:type="dxa" w:w="562"/>
          </w:tcPr>
          <w:p>
            <w:pPr>
              <w:spacing w:before="20" w:after="20" w:line="254" w:lineRule="auto"/>
            </w:pPr>
            <w:r>
              <w:rPr>
                <w:rFonts w:ascii="Carlito" w:hAnsi="Carlito"/>
                <w:b w:val="0"/>
                <w:i w:val="0"/>
                <w:sz w:val="19"/>
              </w:rPr>
              <w:t>6</w:t>
            </w:r>
          </w:p>
        </w:tc>
        <w:tc>
          <w:tcPr>
            <w:tcW w:type="dxa" w:w="7114"/>
          </w:tcPr>
          <w:p>
            <w:pPr>
              <w:spacing w:before="20" w:after="20" w:line="254" w:lineRule="auto"/>
            </w:pPr>
            <w:r>
              <w:rPr>
                <w:rFonts w:ascii="Carlito" w:hAnsi="Carlito"/>
                <w:b w:val="0"/>
                <w:i w:val="0"/>
                <w:sz w:val="19"/>
              </w:rPr>
              <w:t>Notification provisions match current law, not superseded guidance text</w:t>
            </w:r>
          </w:p>
          <w:p>
            <w:pPr>
              <w:spacing w:before="20" w:after="20" w:line="254" w:lineRule="auto"/>
            </w:pPr>
            <w:r>
              <w:rPr>
                <w:rFonts w:ascii="Carlito" w:hAnsi="Carlito"/>
                <w:b w:val="0"/>
                <w:i/>
                <w:color w:val="4A5B63"/>
                <w:sz w:val="17"/>
              </w:rPr>
              <w:t>Check that no section requires a validated-signal notification to EMA and the NCAs.</w:t>
            </w:r>
          </w:p>
        </w:tc>
        <w:tc>
          <w:tcPr>
            <w:tcW w:type="dxa" w:w="1685"/>
          </w:tcPr>
          <w:p>
            <w:pPr>
              <w:spacing w:before="20" w:after="20" w:line="254" w:lineRule="auto"/>
            </w:pPr>
          </w:p>
        </w:tc>
      </w:tr>
      <w:tr>
        <w:tc>
          <w:tcPr>
            <w:tcW w:type="dxa" w:w="562"/>
          </w:tcPr>
          <w:p>
            <w:pPr>
              <w:spacing w:before="20" w:after="20" w:line="254" w:lineRule="auto"/>
            </w:pPr>
            <w:r>
              <w:rPr>
                <w:rFonts w:ascii="Carlito" w:hAnsi="Carlito"/>
                <w:b w:val="0"/>
                <w:i w:val="0"/>
                <w:sz w:val="19"/>
              </w:rPr>
              <w:t>7</w:t>
            </w:r>
          </w:p>
        </w:tc>
        <w:tc>
          <w:tcPr>
            <w:tcW w:type="dxa" w:w="7114"/>
          </w:tcPr>
          <w:p>
            <w:pPr>
              <w:spacing w:before="20" w:after="20" w:line="254" w:lineRule="auto"/>
            </w:pPr>
            <w:r>
              <w:rPr>
                <w:rFonts w:ascii="Carlito" w:hAnsi="Carlito"/>
                <w:b w:val="0"/>
                <w:i w:val="0"/>
                <w:sz w:val="19"/>
              </w:rPr>
              <w:t>Every interface is written as a two-way obligation with a named counterpart</w:t>
            </w:r>
          </w:p>
        </w:tc>
        <w:tc>
          <w:tcPr>
            <w:tcW w:type="dxa" w:w="1685"/>
          </w:tcPr>
          <w:p>
            <w:pPr>
              <w:spacing w:before="20" w:after="20" w:line="254" w:lineRule="auto"/>
            </w:pPr>
          </w:p>
        </w:tc>
      </w:tr>
      <w:tr>
        <w:tc>
          <w:tcPr>
            <w:tcW w:type="dxa" w:w="562"/>
          </w:tcPr>
          <w:p>
            <w:pPr>
              <w:spacing w:before="20" w:after="20" w:line="254" w:lineRule="auto"/>
            </w:pPr>
            <w:r>
              <w:rPr>
                <w:rFonts w:ascii="Carlito" w:hAnsi="Carlito"/>
                <w:b w:val="0"/>
                <w:i w:val="0"/>
                <w:sz w:val="19"/>
              </w:rPr>
              <w:t>8</w:t>
            </w:r>
          </w:p>
        </w:tc>
        <w:tc>
          <w:tcPr>
            <w:tcW w:type="dxa" w:w="7114"/>
          </w:tcPr>
          <w:p>
            <w:pPr>
              <w:spacing w:before="20" w:after="20" w:line="254" w:lineRule="auto"/>
            </w:pPr>
            <w:r>
              <w:rPr>
                <w:rFonts w:ascii="Carlito" w:hAnsi="Carlito"/>
                <w:b w:val="0"/>
                <w:i w:val="0"/>
                <w:sz w:val="19"/>
              </w:rPr>
              <w:t>Change history records what changed, why, and the training that followed</w:t>
            </w:r>
          </w:p>
        </w:tc>
        <w:tc>
          <w:tcPr>
            <w:tcW w:type="dxa" w:w="1685"/>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T-01 Signal Management SOP Outline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