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T-02 — Signal Detection Plan</w:t>
      </w:r>
    </w:p>
    <w:p>
      <w:pPr>
        <w:spacing w:after="20"/>
      </w:pPr>
      <w:r>
        <w:rPr>
          <w:rFonts w:ascii="Caladea" w:hAnsi="Caladea"/>
          <w:b/>
          <w:color w:val="1E2A32"/>
          <w:sz w:val="21"/>
        </w:rPr>
        <w:t>Signal Management in Pharmacovigilance</w:t>
      </w:r>
    </w:p>
    <w:p>
      <w:pPr>
        <w:spacing w:after="120"/>
      </w:pPr>
      <w:r>
        <w:rPr>
          <w:rFonts w:ascii="Carlito" w:hAnsi="Carlito"/>
          <w:color w:val="4A5B63"/>
          <w:sz w:val="19"/>
        </w:rPr>
        <w:t>Dr. Hafez Selim, MD, PhD  ·  Selim Medical Press</w:t>
      </w:r>
    </w:p>
    <w:p>
      <w:pPr>
        <w:spacing w:before="40" w:after="160"/>
        <w:pBdr>
          <w:bottom w:val="single" w:sz="12" w:space="1" w:color="1F5661"/>
        </w:pBdr>
      </w:pPr>
    </w:p>
    <w:p>
      <w:pPr>
        <w:spacing w:after="200"/>
      </w:pPr>
      <w:r>
        <w:rPr>
          <w:rFonts w:ascii="Carlito" w:hAnsi="Carlito"/>
          <w:b/>
          <w:color w:val="1F5661"/>
          <w:sz w:val="20"/>
        </w:rPr>
        <w:t xml:space="preserve">When to use this tool: </w:t>
      </w:r>
      <w:r>
        <w:rPr>
          <w:rFonts w:ascii="Carlito" w:hAnsi="Carlito"/>
          <w:color w:val="1E2A32"/>
          <w:sz w:val="20"/>
        </w:rPr>
        <w:t>Complete one per product or product family, at authorization and at each annual review, and whenever a change in indication, population or exposure alters the product's risk profile.</w:t>
      </w:r>
    </w:p>
    <w:p>
      <w:r>
        <w:t>The plan states what is screened, how often, by whom, and on what basis. Its purpose is to make the screening arrangement explicable: in the EU, monitoring of EudraVigilance is a general obligation at a frequency proportionate to the risk of the product, which means the company must be able to explain how each product's frequency was derived.</w:t>
      </w:r>
    </w:p>
    <w:p>
      <w:pPr>
        <w:pStyle w:val="Heading1"/>
      </w:pPr>
      <w:r>
        <w:t>1. Product and plan identification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Product family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Active moiety or moieties, brands, formulations, routes, strengths, device components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Name the device or presentation where one exists; use-related signals attach to the presentation, not the moiety.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Authorized indications and populations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Each indication, the population, and any pediatric or pregnancy exposure expected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Regions in scope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Markets and any partner-held authorizations covered by this plan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State which partner supplies data under which agreement.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Exposure estimate and trajectory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Current estimate, source, and direction of travel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Growth matters more than the current figure: exposure at the time an action could take effect is what the plan must anticipate.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Additional monitoring status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Whether any active substance is on the additional monitoring list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Plan version, author, approver, date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Version number, names, roles, dates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Next scheduled review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 date and the event that would force an earlier review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A tier 3 product that acquires a pediatric indication is a tier 1 product from the day of that approval.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2. Screening tier and its justification</w:t>
      </w:r>
    </w:p>
    <w:p>
      <w:pPr>
        <w:pStyle w:val="SubtleNote"/>
      </w:pPr>
      <w:r>
        <w:t>Illustrative company design, not a regulatory requirement. Tier definitions, intervals and review cadences must be set by each organization and justified against its own portfolio.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562"/>
        <w:gridCol w:w="3744"/>
        <w:gridCol w:w="1685"/>
        <w:gridCol w:w="1685"/>
        <w:gridCol w:w="1685"/>
      </w:tblGrid>
      <w:tr>
        <w:trPr>
          <w:tblHeader/>
        </w:trPr>
        <w:tc>
          <w:tcPr>
            <w:tcW w:type="dxa" w:w="562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Tier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Typical product profile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Clinical review of new serious cases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Quantitative and database screening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Committee review</w:t>
            </w:r>
          </w:p>
        </w:tc>
      </w:tr>
      <w:tr>
        <w:tc>
          <w:tcPr>
            <w:tcW w:type="dxa" w:w="562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Within 24 months of first authorization; rapidly growing exposure; additional monitoring; vulnerable population; major unresolved uncertainty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Continuous, each working day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Monthly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Monthly</w:t>
            </w:r>
          </w:p>
        </w:tc>
      </w:tr>
      <w:tr>
        <w:tc>
          <w:tcPr>
            <w:tcW w:type="dxa" w:w="562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2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Established product with an active RMP, important identified or potential risks, or substantial exposure growth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Continuous, each working day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Monthly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Monthly, standing agenda item</w:t>
            </w:r>
          </w:p>
        </w:tc>
      </w:tr>
      <w:tr>
        <w:tc>
          <w:tcPr>
            <w:tcW w:type="dxa" w:w="562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3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Mature product, stable exposure, well-characterized profile, no active risk-minimization measure beyond labeling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Continuous, each working day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Quarterly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Quarterly</w:t>
            </w:r>
          </w:p>
        </w:tc>
      </w:tr>
      <w:tr>
        <w:tc>
          <w:tcPr>
            <w:tcW w:type="dxa" w:w="562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4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Legacy or low-exposure product, no marketing activity, small and stable report volume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Continuous, each working day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Every six months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Every six months</w:t>
            </w:r>
          </w:p>
        </w:tc>
      </w:tr>
    </w:tbl>
    <w:p>
      <w:pPr>
        <w:spacing w:after="40"/>
      </w:pPr>
    </w:p>
    <w:p>
      <w:r>
        <w:t>Clinical review of new serious cases is continuous in every tier, because seriousness, not product tier, determines whether a case needs to be seen quickly.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Tier assigned to this product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Tier number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Basis for the tier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Product maturity, exposure, extent to which risks are already characterized, population vulnerability, volume of incoming information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Write the reasoning against the five variables, not the tier number restated in words.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Tier owner and review date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Named owner; date the tier will be re-examined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Tier assignment is a documented decision, not a property of the product.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EudraVigilance monitoring frequency and its risk-based justification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Frequency, and why it is proportionate to this product's risk, known safety profile and characteristics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GVP Module IX Rev 1 IX.C.3.2 recommends at least every 6 months, and every 2 weeks for active substances on the additional monitoring list. These are recommendations written under the former Article 18(3); they are not a regulatory minimum. Record them as the benchmark you departed from or adopted, and say which.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3. Sources in scope</w:t>
      </w:r>
    </w:p>
    <w:p>
      <w:r>
        <w:t>One row per source. A source examined and found unhelpful is recorded; a source absent from this table is indistinguishable from one nobody looked at. Cross-reference the full inventory in T-03.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246"/>
        <w:gridCol w:w="749"/>
        <w:gridCol w:w="1685"/>
        <w:gridCol w:w="936"/>
        <w:gridCol w:w="1123"/>
        <w:gridCol w:w="2621"/>
      </w:tblGrid>
      <w:tr>
        <w:trPr>
          <w:tblHeader/>
        </w:trPr>
        <w:tc>
          <w:tcPr>
            <w:tcW w:type="dxa" w:w="224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In scope?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Screening method</w:t>
            </w: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Frequency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this source cannot answer</w:t>
            </w:r>
          </w:p>
        </w:tc>
      </w:tr>
      <w:tr>
        <w:tc>
          <w:tcPr>
            <w:tcW w:type="dxa" w:w="224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Company global safety database</w:t>
            </w: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State the prohibition as a sentence.</w:t>
            </w:r>
          </w:p>
        </w:tc>
      </w:tr>
      <w:tr>
        <w:tc>
          <w:tcPr>
            <w:tcW w:type="dxa" w:w="224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EudraVigilance / EVDAS</w:t>
            </w: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24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FDA Adverse Event Monitoring System (AEMS) public data</w:t>
            </w: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AEMS launched 11 March 2026 as successor to FAERS.</w:t>
            </w:r>
          </w:p>
        </w:tc>
      </w:tr>
      <w:tr>
        <w:tc>
          <w:tcPr>
            <w:tcW w:type="dxa" w:w="224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Other national or regional databases</w:t>
            </w: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24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VigiBase or other multinational data, where accessible</w:t>
            </w: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24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Published literature, indexed</w:t>
            </w: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24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Published literature, non-indexed and local journals</w:t>
            </w: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If excluded, record the exclusion and its justification here.</w:t>
            </w:r>
          </w:p>
        </w:tc>
      </w:tr>
      <w:tr>
        <w:tc>
          <w:tcPr>
            <w:tcW w:type="dxa" w:w="224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Sponsor clinical trials and extension studies</w:t>
            </w: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24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Registries and post-authorization studies</w:t>
            </w: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24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Real-world data (claims, EHR networks)</w:t>
            </w: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24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Product quality complaints and device vigilance</w:t>
            </w: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24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Patient support and market research programmes, digital platforms</w:t>
            </w: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In scope of ICH E2D(R1), Step 4 adopted 15 September 2025.</w:t>
            </w:r>
          </w:p>
        </w:tc>
      </w:tr>
      <w:tr>
        <w:tc>
          <w:tcPr>
            <w:tcW w:type="dxa" w:w="224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Regulatory intelligence and authority publications</w:t>
            </w: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Includes FDA's quarterly potential-signals listing under FD&amp;C Act §505(k)(5) and PRAC signal recommendations.</w:t>
            </w:r>
          </w:p>
        </w:tc>
      </w:tr>
      <w:tr>
        <w:tc>
          <w:tcPr>
            <w:tcW w:type="dxa" w:w="224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Partner and licensee inflows under SDEA</w:t>
            </w: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24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Social media and organised data collection systems</w:t>
            </w: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4. Detection methods and their stated purpose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Clinical and qualitative review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Which listings are reviewed, by whom, against what, and how a concern is raised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Name the reviewer's qualification. A listing reviewed by nobody in particular is not a method.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Quantitative screening: measures used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PRR, ROR, IC/IC₀₂₅, EBGM/EB05, or a multi-criteria rank such as vigiRank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Thresholds and their purpose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cut-points applied, and the sentence that a threshold allocates workload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Required sentence: a threshold does not establish that an association exists, does not estimate its size, and does not compare the safety of two products. A combination below threshold has not been ruled out.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Stratification and subgroups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Prespecified strata (age, sex, country, calendar period, reporter type) and subgroups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Computing enough subgroups guarantees that some will exceed any threshold. Prespecify.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Masking mitigation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Restricted comparator groups; repeat analysis with the dominant contributor excluded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Special settings applicable to this product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Vaccine O/E, pregnancy registry, oncology background rates, medication-error and device analysis, batch and presentation stratification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Cross-reference T-12 and T-22 where any apply.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Events of special interest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named list, its source, and who maintains it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5. Triage, escalation and documentation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Triage rules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Duplicate check, prior-decision check, product confirmation, and the timeline for each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Who may raise an alert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Any named role, and the route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Urgent escalation path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named escalation authority, the maximum elapsed time, and the notification route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Include the 3-working-day emerging safety issue route. Do not include a validated-signal notification to EMA and the NCAs; that obligation was deleted with effect from 12 August 2025.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Where the record is opened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System, record type, and the fields opened at the moment a concern is raised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Open the record when the concern is raised, not when it is validated.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Evidence of screening completion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What is filed to show each scheduled run was performed and reviewed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An inspector will ask for the last four cycles. Decide now what that evidence looks like.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6. Plan review and change history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936"/>
        <w:gridCol w:w="1123"/>
        <w:gridCol w:w="3182"/>
        <w:gridCol w:w="2621"/>
        <w:gridCol w:w="1498"/>
      </w:tblGrid>
      <w:tr>
        <w:trPr>
          <w:tblHeader/>
        </w:trPr>
        <w:tc>
          <w:tcPr>
            <w:tcW w:type="dxa" w:w="93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3182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changed</w:t>
            </w: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Why</w:t>
            </w: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3182"/>
          </w:tcPr>
          <w:p>
            <w:pPr>
              <w:spacing w:before="20" w:after="20" w:line="254" w:lineRule="auto"/>
            </w:pP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3182"/>
          </w:tcPr>
          <w:p>
            <w:pPr>
              <w:spacing w:before="20" w:after="20" w:line="254" w:lineRule="auto"/>
            </w:pP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3182"/>
          </w:tcPr>
          <w:p>
            <w:pPr>
              <w:spacing w:before="20" w:after="20" w:line="254" w:lineRule="auto"/>
            </w:pPr>
          </w:p>
        </w:tc>
        <w:tc>
          <w:tcPr>
            <w:tcW w:type="dxa" w:w="2621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1" w:color="9FBAC0"/>
        </w:pBdr>
      </w:pPr>
    </w:p>
    <w:p>
      <w:r>
        <w:rPr>
          <w:rFonts w:ascii="Carlito" w:hAnsi="Carlito"/>
          <w:i/>
          <w:color w:val="4A5B63"/>
          <w:sz w:val="18"/>
        </w:rPr>
        <w:t>This template is educational. It does not replace applicable law, current regulatory guidance, medical judgment, or company procedures. Adapt it to your own procedures before use.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rlito" w:hAnsi="Carlito"/>
        <w:color w:val="4A5B63"/>
        <w:sz w:val="16"/>
      </w:rPr>
      <w:t>T-02 Signal Detection Plan · Signal Management in Pharmacovigilance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rlito" w:hAnsi="Carlito" w:cs="Carlito" w:eastAsia="Carlito"/>
      <w:color w:val="1E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adea" w:hAnsi="Caladea" w:cs="Caladea" w:eastAsia="Caladea"/>
      <w:b/>
      <w:color w:val="1F566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basedOn w:val="Normal"/>
    <w:pPr>
      <w:spacing w:before="0" w:after="140"/>
    </w:pPr>
    <w:rPr>
      <w:rFonts w:ascii="Carlito" w:hAnsi="Carlito" w:cs="Carlito" w:eastAsia="Carlito"/>
      <w:i/>
      <w:color w:val="4A5B63"/>
      <w:sz w:val="19"/>
    </w:rPr>
  </w:style>
  <w:style w:type="paragraph" w:customStyle="1" w:styleId="SubtleNote">
    <w:name w:val="SubtleNote"/>
    <w:basedOn w:val="Normal"/>
    <w:pPr>
      <w:spacing w:before="0" w:after="100"/>
    </w:pPr>
    <w:rPr>
      <w:rFonts w:ascii="Carlito" w:hAnsi="Carlito" w:cs="Carlito" w:eastAsia="Carlito"/>
      <w:color w:val="4A5B63"/>
      <w:sz w:val="19"/>
    </w:rPr>
  </w:style>
  <w:style w:type="table" w:styleId="ToolkitTable">
    <w:name w:val="Toolkit Table"/>
    <w:basedOn w:val="TableNormal"/>
    <w:uiPriority w:val="59"/>
    <w:qFormat/>
    <w:rPr>
      <w:rFonts w:ascii="Carlito" w:hAnsi="Carlito" w:cs="Carlito"/>
      <w:color w:val="1E2A32"/>
      <w:sz w:val="19"/>
    </w:rPr>
    <w:tblPr>
      <w:tblStyleRowBandSize w:val="1"/>
      <w:tblBorders>
        <w:top w:val="single" w:sz="4" w:space="0" w:color="9FBAC0"/>
        <w:left w:val="single" w:sz="4" w:space="0" w:color="9FBAC0"/>
        <w:bottom w:val="single" w:sz="4" w:space="0" w:color="9FBAC0"/>
        <w:right w:val="single" w:sz="4" w:space="0" w:color="9FBAC0"/>
        <w:insideH w:val="single" w:sz="4" w:space="0" w:color="9FBAC0"/>
        <w:insideV w:val="single" w:sz="4" w:space="0" w:color="9FBAC0"/>
      </w:tblBorders>
      <w:tblCellMar>
        <w:top w:w="72" w:type="dxa"/>
        <w:left w:w="101" w:type="dxa"/>
        <w:bottom w:w="72" w:type="dxa"/>
        <w:right w:w="101" w:type="dxa"/>
      </w:tblCellMar>
    </w:tblPr>
    <w:tblStylePr w:type="firstRow">
      <w:pPr>
        <w:keepNext/>
        <w:spacing w:before="20" w:after="20"/>
      </w:pPr>
      <w:rPr>
        <w:rFonts w:ascii="Carlito" w:hAnsi="Carlito"/>
        <w:b/>
        <w:color w:val="FFFFFF"/>
      </w:rPr>
      <w:tcPr>
        <w:shd w:val="clear" w:color="auto" w:fill="1F5661"/>
      </w:tcPr>
    </w:tblStylePr>
    <w:tblStylePr w:type="band1Horz">
      <w:tcPr>
        <w:shd w:val="clear" w:color="auto" w:fill="E8EFE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