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T-03 — Data-Source Inventory</w:t>
      </w:r>
    </w:p>
    <w:p>
      <w:pPr>
        <w:spacing w:after="20"/>
      </w:pPr>
      <w:r>
        <w:rPr>
          <w:rFonts w:ascii="Caladea" w:hAnsi="Caladea"/>
          <w:b/>
          <w:color w:val="1E2A32"/>
          <w:sz w:val="21"/>
        </w:rPr>
        <w:t>Signal Management in Pharmacovigilance</w:t>
      </w:r>
    </w:p>
    <w:p>
      <w:pPr>
        <w:spacing w:after="120"/>
      </w:pPr>
      <w:r>
        <w:rPr>
          <w:rFonts w:ascii="Carlito" w:hAnsi="Carlito"/>
          <w:color w:val="4A5B63"/>
          <w:sz w:val="19"/>
        </w:rPr>
        <w:t>Dr. Hafez Selim, MD, PhD  ·  Selim Medical Press</w:t>
      </w:r>
    </w:p>
    <w:p>
      <w:pPr>
        <w:spacing w:before="40" w:after="160"/>
        <w:pBdr>
          <w:bottom w:val="single" w:sz="12" w:space="1" w:color="1F5661"/>
        </w:pBdr>
      </w:pPr>
    </w:p>
    <w:p>
      <w:pPr>
        <w:spacing w:after="200"/>
      </w:pPr>
      <w:r>
        <w:rPr>
          <w:rFonts w:ascii="Carlito" w:hAnsi="Carlito"/>
          <w:b/>
          <w:color w:val="1F5661"/>
          <w:sz w:val="20"/>
        </w:rPr>
        <w:t xml:space="preserve">When to use this tool: </w:t>
      </w:r>
      <w:r>
        <w:rPr>
          <w:rFonts w:ascii="Carlito" w:hAnsi="Carlito"/>
          <w:color w:val="1E2A32"/>
          <w:sz w:val="20"/>
        </w:rPr>
        <w:t>Build one per product family, review it annually, and keep it under version control. It is what a quality reviewer uses to test the screening plan and what a signal assessor uses when framing an assessment question.</w:t>
      </w:r>
    </w:p>
    <w:p>
      <w:r>
        <w:t>Source coverage cannot be managed from memory. Three practices make the inventory useful rather than decorative: record the outcome validation status of every real-world data source for the outcomes your portfolio cares about, with the positive predictive value; record the date each source was last screened and by whom; and record one sentence per source on what it must never be used for, phrased as a prohibition. That sentence is what stops a claims count being presented to a committee as an incidence rate.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Product family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Active moiety or moieties and the presentations covered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Inventory version, owner, date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Version, named owner, date of this revision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Next annual review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Part A — One block per source (copy this block for each)</w:t>
      </w:r>
    </w:p>
    <w:p>
      <w:pPr>
        <w:pStyle w:val="Heading2"/>
      </w:pPr>
      <w:r>
        <w:t>Source 1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name and type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Database, registry, network, feed or programme; and its class: spontaneous, trial, literature, real-world data, product-specific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The class determines which structural properties apply and which biases dominate.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Ownership and access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Owner, provider, contract or SDEA reference, access route, named users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Determines who can run a query, and how quickly. A source nobody has credentials for is not in scope.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Population and coverage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Geography, care settings, ages, years covered, route by which a person enters the source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Defines the question the source can address at all.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Refresh and lag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Update frequency, event-to-availability lag, freeze practice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Rules the source in or out for time-sensitive questions. State the lag in weeks or months, not as 'timely'.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Coding standards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MedDRA version, drug dictionary, diagnosis and procedure code systems, mapping rules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Determines retrieval strategy and reconciliation between sources.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Denominator available?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Yes/no; if yes, the unit (patients, person-time, doses, units distributed) and its derivation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Concurrent control available?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None, randomized, or constructed — and how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Outcome validation status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For each outcome your portfolio cares about: validated or not; positive predictive value; the validation substudy reference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An unvalidated phenotype is an unquantified bias. This field is the one most often left blank and the one that most often matters.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Known limitations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Denominator, missingness, duplication, selection, publication lag, stimulation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Be specific to this source and this portfolio. 'Under-reporting' alone is not an entry.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Best use in detection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this source is genuinely good at finding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Best use in evaluation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this source can contribute once a question exists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this source must NEVER be used for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One sentence, phrased as a prohibition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Example: 'Counts from this claims dataset must never be presented as an incidence of the event; the phenotype has a positive predictive value of about 40%.'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Last screened: date and by whom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Date and named person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Source 2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name and type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Database, registry, network, feed or programme; and its class: spontaneous, trial, literature, real-world data, product-specific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The class determines which structural properties apply and which biases dominate.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Ownership and access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Owner, provider, contract or SDEA reference, access route, named users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Determines who can run a query, and how quickly. A source nobody has credentials for is not in scope.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Population and coverage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Geography, care settings, ages, years covered, route by which a person enters the source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Defines the question the source can address at all.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Refresh and lag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Update frequency, event-to-availability lag, freeze practice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Rules the source in or out for time-sensitive questions. State the lag in weeks or months, not as 'timely'.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Coding standards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MedDRA version, drug dictionary, diagnosis and procedure code systems, mapping rules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Determines retrieval strategy and reconciliation between sources.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Denominator available?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Yes/no; if yes, the unit (patients, person-time, doses, units distributed) and its derivation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Concurrent control available?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None, randomized, or constructed — and how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Outcome validation status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For each outcome your portfolio cares about: validated or not; positive predictive value; the validation substudy reference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An unvalidated phenotype is an unquantified bias. This field is the one most often left blank and the one that most often matters.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Known limitations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Denominator, missingness, duplication, selection, publication lag, stimulation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Be specific to this source and this portfolio. 'Under-reporting' alone is not an entry.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Best use in detection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this source is genuinely good at finding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Best use in evaluation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this source can contribute once a question exists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this source must NEVER be used for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One sentence, phrased as a prohibition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Example: 'Counts from this claims dataset must never be presented as an incidence of the event; the phenotype has a positive predictive value of about 40%.'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Last screened: date and by whom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Date and named person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2"/>
      </w:pPr>
      <w:r>
        <w:t>Source 3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Field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What to record — and what a good entry looks like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Source name and type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Database, registry, network, feed or programme; and its class: spontaneous, trial, literature, real-world data, product-specific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The class determines which structural properties apply and which biases dominate.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Ownership and access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Owner, provider, contract or SDEA reference, access route, named users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Determines who can run a query, and how quickly. A source nobody has credentials for is not in scope.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Population and coverage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Geography, care settings, ages, years covered, route by which a person enters the source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Defines the question the source can address at all.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Refresh and lag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Update frequency, event-to-availability lag, freeze practice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Rules the source in or out for time-sensitive questions. State the lag in weeks or months, not as 'timely'.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Coding standards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MedDRA version, drug dictionary, diagnosis and procedure code systems, mapping rules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Determines retrieval strategy and reconciliation between sources.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Denominator available?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Yes/no; if yes, the unit (patients, person-time, doses, units distributed) and its derivation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Concurrent control available?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None, randomized, or constructed — and how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Outcome validation status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For each outcome your portfolio cares about: validated or not; positive predictive value; the validation substudy reference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An unvalidated phenotype is an unquantified bias. This field is the one most often left blank and the one that most often matters.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Known limitations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Denominator, missingness, duplication, selection, publication lag, stimulation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Be specific to this source and this portfolio. 'Under-reporting' alone is not an entry.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Best use in detection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this source is genuinely good at finding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Best use in evaluation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this source can contribute once a question exists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What this source must NEVER be used for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One sentence, phrased as a prohibition</w:t>
            </w:r>
          </w:p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/>
                <w:color w:val="4A5B63"/>
                <w:sz w:val="17"/>
              </w:rPr>
              <w:t>Example: 'Counts from this claims dataset must never be presented as an incidence of the event; the phenotype has a positive predictive value of about 40%.'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Last screened: date and by whom</w:t>
            </w:r>
          </w:p>
        </w:tc>
        <w:tc>
          <w:tcPr>
            <w:tcW w:type="dxa" w:w="374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Date and named person</w:t>
            </w:r>
          </w:p>
        </w:tc>
        <w:tc>
          <w:tcPr>
            <w:tcW w:type="dxa" w:w="3557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Heading1"/>
      </w:pPr>
      <w:r>
        <w:t>Part B — Source-by-purpose reference matrix</w:t>
      </w:r>
    </w:p>
    <w:p>
      <w:r>
        <w:t>Use this to place each of your sources in Part A. Structural properties first.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434"/>
        <w:gridCol w:w="1685"/>
        <w:gridCol w:w="2059"/>
        <w:gridCol w:w="1685"/>
        <w:gridCol w:w="1498"/>
      </w:tblGrid>
      <w:tr>
        <w:trPr>
          <w:tblHeader/>
        </w:trP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Source class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Speed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Clinical detail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Denominator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Concurrent control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Spontaneous reports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Days to weeks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Variable; high in serious cases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No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No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Sponsor trials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Months to years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High, standardized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Yes, exact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Yes, randomized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Published literature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1–3 years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Very high per case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Study-dependent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Study-dependent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Administrative claims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3–12 month lag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Low; codes only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Yes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Yes, constructed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Electronic health records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Weeks to months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Moderate to high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Network-defined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Yes, constructed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Registries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Months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High in defined fields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Enrolled cohort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Only if designed in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Quality and device data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Days to weeks</w:t>
            </w:r>
          </w:p>
        </w:tc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Product, not patient</w:t>
            </w:r>
          </w:p>
        </w:tc>
        <w:tc>
          <w:tcPr>
            <w:tcW w:type="dxa" w:w="168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Units distributed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No</w:t>
            </w:r>
          </w:p>
        </w:tc>
      </w:tr>
    </w:tbl>
    <w:p>
      <w:pPr>
        <w:spacing w:after="40"/>
      </w:pPr>
    </w:p>
    <w:p>
      <w:r>
        <w:t>Then bias and best use.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059"/>
        <w:gridCol w:w="2434"/>
        <w:gridCol w:w="2434"/>
        <w:gridCol w:w="2434"/>
      </w:tblGrid>
      <w:tr>
        <w:trPr>
          <w:tblHeader/>
        </w:trP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Source class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Dominant biases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Best use in detection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Best use in evaluation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Spontaneous reports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Under-reporting, stimulation, duplication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Rare, distinctive, serious events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Phenotype, latency, dechallenge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Sponsor trials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Eligibility restriction, low power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Adjudicated event and laboratory imbalance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Comparative risk where powered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Published literature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Publication bias, lag, non-indexed gaps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Novel syndrome description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Mechanism, plausibility, consistency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Administrative claims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Misclassification, confounding by indication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Rarely primary; utilization shifts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Incidence, rate comparison, subgroups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Electronic health records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Network selection, incomplete capture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Laboratory phenotypes not otherwise reported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Outcome validation, adjustment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Registries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Enrollment selection, loss to follow-up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Prospective ascertainment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Exposure timing, frequency vs baseline</w:t>
            </w:r>
          </w:p>
        </w:tc>
      </w:tr>
      <w:tr>
        <w:tc>
          <w:tcPr>
            <w:tcW w:type="dxa" w:w="2059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Quality and device data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Route heterogeneity, traceability gaps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Use- and device-related clusters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 w:val="0"/>
                <w:i w:val="0"/>
                <w:sz w:val="19"/>
              </w:rPr>
              <w:t>Lot, supplier, change-point attribution</w:t>
            </w:r>
          </w:p>
        </w:tc>
      </w:tr>
    </w:tbl>
    <w:p>
      <w:pPr>
        <w:spacing w:after="40"/>
      </w:pPr>
    </w:p>
    <w:p>
      <w:pPr>
        <w:pStyle w:val="Heading1"/>
      </w:pPr>
      <w:r>
        <w:t>Part C — Coverage gaps and their disposition</w:t>
      </w:r>
    </w:p>
    <w:tbl>
      <w:tblPr>
        <w:tblStyle w:val="ToolkitTable"/>
        <w:tblW w:type="auto" w:w="0"/>
        <w:jc w:val="left"/>
        <w:tblLayout w:type="fixed"/>
        <w:tblLook w:val="04A0" w:firstRow="1" w:lastRow="0" w:firstColumn="0" w:lastColumn="0" w:noHBand="0" w:noVBand="1"/>
      </w:tblPr>
      <w:tblGrid>
        <w:gridCol w:w="2434"/>
        <w:gridCol w:w="2995"/>
        <w:gridCol w:w="2434"/>
        <w:gridCol w:w="1498"/>
      </w:tblGrid>
      <w:tr>
        <w:trPr>
          <w:tblHeader/>
        </w:trPr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Gap identified</w:t>
            </w:r>
          </w:p>
        </w:tc>
        <w:tc>
          <w:tcPr>
            <w:tcW w:type="dxa" w:w="2995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Question it prevents you answering</w:t>
            </w: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Disposition: accept, mitigate, or acquire</w:t>
            </w: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  <w:r>
              <w:rPr>
                <w:rFonts w:ascii="Carlito" w:hAnsi="Carlito"/>
                <w:b/>
                <w:i w:val="0"/>
                <w:color w:val="FFFFFF"/>
                <w:sz w:val="19"/>
              </w:rPr>
              <w:t>Owner and date</w:t>
            </w: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</w:p>
        </w:tc>
        <w:tc>
          <w:tcPr>
            <w:tcW w:type="dxa" w:w="2995"/>
          </w:tcPr>
          <w:p>
            <w:pPr>
              <w:spacing w:before="20" w:after="20" w:line="254" w:lineRule="auto"/>
            </w:pP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</w:p>
        </w:tc>
        <w:tc>
          <w:tcPr>
            <w:tcW w:type="dxa" w:w="2995"/>
          </w:tcPr>
          <w:p>
            <w:pPr>
              <w:spacing w:before="20" w:after="20" w:line="254" w:lineRule="auto"/>
            </w:pP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</w:p>
        </w:tc>
        <w:tc>
          <w:tcPr>
            <w:tcW w:type="dxa" w:w="2995"/>
          </w:tcPr>
          <w:p>
            <w:pPr>
              <w:spacing w:before="20" w:after="20" w:line="254" w:lineRule="auto"/>
            </w:pP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</w:tr>
      <w:tr>
        <w:tc>
          <w:tcPr>
            <w:tcW w:type="dxa" w:w="2434"/>
          </w:tcPr>
          <w:p>
            <w:pPr>
              <w:spacing w:before="20" w:after="20" w:line="254" w:lineRule="auto"/>
            </w:pPr>
          </w:p>
        </w:tc>
        <w:tc>
          <w:tcPr>
            <w:tcW w:type="dxa" w:w="2995"/>
          </w:tcPr>
          <w:p>
            <w:pPr>
              <w:spacing w:before="20" w:after="20" w:line="254" w:lineRule="auto"/>
            </w:pPr>
          </w:p>
        </w:tc>
        <w:tc>
          <w:tcPr>
            <w:tcW w:type="dxa" w:w="2434"/>
          </w:tcPr>
          <w:p>
            <w:pPr>
              <w:spacing w:before="20" w:after="20" w:line="254" w:lineRule="auto"/>
            </w:pPr>
          </w:p>
        </w:tc>
        <w:tc>
          <w:tcPr>
            <w:tcW w:type="dxa" w:w="1498"/>
          </w:tcPr>
          <w:p>
            <w:pPr>
              <w:spacing w:before="20" w:after="20" w:line="254" w:lineRule="auto"/>
            </w:pPr>
          </w:p>
        </w:tc>
      </w:tr>
    </w:tbl>
    <w:p>
      <w:pPr>
        <w:spacing w:after="40"/>
      </w:pPr>
    </w:p>
    <w:p>
      <w:pPr>
        <w:pStyle w:val="Prompt"/>
      </w:pPr>
      <w:r>
        <w:t>An accepted gap is a decision and belongs in the record with its reasoning. A gap left unlisted is the finding an inspector will make on your behalf.</w:t>
      </w:r>
    </w:p>
    <w:p>
      <w:pPr>
        <w:spacing w:before="40" w:after="160"/>
        <w:pBdr>
          <w:bottom w:val="single" w:sz="6" w:space="1" w:color="9FBAC0"/>
        </w:pBdr>
      </w:pPr>
    </w:p>
    <w:p>
      <w:r>
        <w:rPr>
          <w:rFonts w:ascii="Carlito" w:hAnsi="Carlito"/>
          <w:i/>
          <w:color w:val="4A5B63"/>
          <w:sz w:val="18"/>
        </w:rPr>
        <w:t>This template is educational. It does not replace applicable law, current regulatory guidance, medical judgment, or company procedures. Adapt it to your own procedures before use.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rlito" w:hAnsi="Carlito"/>
        <w:color w:val="4A5B63"/>
        <w:sz w:val="16"/>
      </w:rPr>
      <w:t>T-03 Data-Source Inventory · Signal Management in Pharmacovigilance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rlito" w:hAnsi="Carlito" w:cs="Carlito" w:eastAsia="Carlito"/>
      <w:color w:val="1E2A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80"/>
      <w:outlineLvl w:val="1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  <w:keepNext/>
    </w:pPr>
    <w:rPr>
      <w:rFonts w:asciiTheme="majorHAnsi" w:eastAsiaTheme="majorEastAsia" w:hAnsiTheme="majorHAnsi" w:cstheme="majorBidi" w:ascii="Caladea" w:hAnsi="Caladea" w:cs="Caladea" w:eastAsia="Caladea"/>
      <w:b/>
      <w:bCs/>
      <w:color w:val="1F566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 w:before="0"/>
      <w:contextualSpacing/>
    </w:pPr>
    <w:rPr>
      <w:rFonts w:asciiTheme="majorHAnsi" w:eastAsiaTheme="majorEastAsia" w:hAnsiTheme="majorHAnsi" w:cstheme="majorBidi" w:ascii="Caladea" w:hAnsi="Caladea" w:cs="Caladea" w:eastAsia="Caladea"/>
      <w:b/>
      <w:color w:val="1F5661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mpt">
    <w:name w:val="Prompt"/>
    <w:basedOn w:val="Normal"/>
    <w:pPr>
      <w:spacing w:before="0" w:after="140"/>
    </w:pPr>
    <w:rPr>
      <w:rFonts w:ascii="Carlito" w:hAnsi="Carlito" w:cs="Carlito" w:eastAsia="Carlito"/>
      <w:i/>
      <w:color w:val="4A5B63"/>
      <w:sz w:val="19"/>
    </w:rPr>
  </w:style>
  <w:style w:type="paragraph" w:customStyle="1" w:styleId="SubtleNote">
    <w:name w:val="SubtleNote"/>
    <w:basedOn w:val="Normal"/>
    <w:pPr>
      <w:spacing w:before="0" w:after="100"/>
    </w:pPr>
    <w:rPr>
      <w:rFonts w:ascii="Carlito" w:hAnsi="Carlito" w:cs="Carlito" w:eastAsia="Carlito"/>
      <w:color w:val="4A5B63"/>
      <w:sz w:val="19"/>
    </w:rPr>
  </w:style>
  <w:style w:type="table" w:styleId="ToolkitTable">
    <w:name w:val="Toolkit Table"/>
    <w:basedOn w:val="TableNormal"/>
    <w:uiPriority w:val="59"/>
    <w:qFormat/>
    <w:rPr>
      <w:rFonts w:ascii="Carlito" w:hAnsi="Carlito" w:cs="Carlito"/>
      <w:color w:val="1E2A32"/>
      <w:sz w:val="19"/>
    </w:rPr>
    <w:tblPr>
      <w:tblStyleRowBandSize w:val="1"/>
      <w:tblBorders>
        <w:top w:val="single" w:sz="4" w:space="0" w:color="9FBAC0"/>
        <w:left w:val="single" w:sz="4" w:space="0" w:color="9FBAC0"/>
        <w:bottom w:val="single" w:sz="4" w:space="0" w:color="9FBAC0"/>
        <w:right w:val="single" w:sz="4" w:space="0" w:color="9FBAC0"/>
        <w:insideH w:val="single" w:sz="4" w:space="0" w:color="9FBAC0"/>
        <w:insideV w:val="single" w:sz="4" w:space="0" w:color="9FBAC0"/>
      </w:tblBorders>
      <w:tblCellMar>
        <w:top w:w="72" w:type="dxa"/>
        <w:left w:w="101" w:type="dxa"/>
        <w:bottom w:w="72" w:type="dxa"/>
        <w:right w:w="101" w:type="dxa"/>
      </w:tblCellMar>
    </w:tblPr>
    <w:tblStylePr w:type="firstRow">
      <w:pPr>
        <w:keepNext/>
        <w:spacing w:before="20" w:after="20"/>
      </w:pPr>
      <w:rPr>
        <w:rFonts w:ascii="Carlito" w:hAnsi="Carlito"/>
        <w:b/>
        <w:color w:val="FFFFFF"/>
      </w:rPr>
      <w:tcPr>
        <w:shd w:val="clear" w:color="auto" w:fill="1F5661"/>
      </w:tcPr>
    </w:tblStylePr>
    <w:tblStylePr w:type="band1Horz">
      <w:tcPr>
        <w:shd w:val="clear" w:color="auto" w:fill="E8EFE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