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T-04 — Clinical Alert Review Form</w:t>
      </w:r>
    </w:p>
    <w:p>
      <w:pPr>
        <w:spacing w:after="20"/>
      </w:pPr>
      <w:r>
        <w:rPr>
          <w:rFonts w:ascii="Caladea" w:hAnsi="Caladea"/>
          <w:b/>
          <w:color w:val="1E2A32"/>
          <w:sz w:val="21"/>
        </w:rPr>
        <w:t>Signal Management in Pharmacovigilance</w:t>
      </w:r>
    </w:p>
    <w:p>
      <w:pPr>
        <w:spacing w:after="120"/>
      </w:pPr>
      <w:r>
        <w:rPr>
          <w:rFonts w:ascii="Carlito" w:hAnsi="Carlito"/>
          <w:color w:val="4A5B63"/>
          <w:sz w:val="19"/>
        </w:rPr>
        <w:t>Dr. Hafez Selim, MD, PhD  ·  Selim Medical Press</w:t>
      </w:r>
    </w:p>
    <w:p>
      <w:pPr>
        <w:spacing w:before="40" w:after="160"/>
        <w:pBdr>
          <w:bottom w:val="single" w:sz="12" w:space="1" w:color="1F5661"/>
        </w:pBdr>
      </w:pPr>
    </w:p>
    <w:p>
      <w:pPr>
        <w:spacing w:after="200"/>
      </w:pPr>
      <w:r>
        <w:rPr>
          <w:rFonts w:ascii="Carlito" w:hAnsi="Carlito"/>
          <w:b/>
          <w:color w:val="1F5661"/>
          <w:sz w:val="20"/>
        </w:rPr>
        <w:t xml:space="preserve">When to use this tool: </w:t>
      </w:r>
      <w:r>
        <w:rPr>
          <w:rFonts w:ascii="Carlito" w:hAnsi="Carlito"/>
          <w:color w:val="1E2A32"/>
          <w:sz w:val="20"/>
        </w:rPr>
        <w:t>Complete one form per case when an alert is under clinical review, then repeat the form across the series so that coherence between cases becomes visible.</w:t>
      </w:r>
    </w:p>
    <w:p>
      <w:r>
        <w:t>The five columns are deliberately separated. Observed facts come from the report. The reporter's assessment is attributed to the reporter. The reviewer's interpretation is attributed to the reviewer. Alternative causes are individually adjudicated rather than listed. Information still needed becomes the follow-up request. Keeping them apart prevents the reviewer's interpretation from contaminating the record of what was observed.</w:t>
      </w:r>
    </w:p>
    <w:p>
      <w:pPr>
        <w:pStyle w:val="Prompt"/>
      </w:pPr>
      <w:r>
        <w:t>Two rules govern every cell. Where a cell would contain an assumption, write the assumption and mark it as such. Where information is unavailable, distinguish “not reported” from “reported as absent”; these are different data and the distinction changes the assessment.</w:t>
      </w:r>
    </w:p>
    <w:p>
      <w:pPr>
        <w:pStyle w:val="SubtleNote"/>
      </w:pPr>
      <w:r>
        <w:t>This form is a company-designed aid, not a regulatory requirement.</w:t>
      </w:r>
    </w:p>
    <w:p>
      <w:pPr>
        <w:pStyle w:val="Heading1"/>
      </w:pPr>
      <w:r>
        <w:t>Case identification</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Case identifier and version</w:t>
            </w:r>
          </w:p>
        </w:tc>
        <w:tc>
          <w:tcPr>
            <w:tcW w:type="dxa" w:w="3744"/>
          </w:tcPr>
          <w:p>
            <w:pPr>
              <w:spacing w:before="20" w:after="20" w:line="254" w:lineRule="auto"/>
            </w:pPr>
            <w:r>
              <w:rPr>
                <w:rFonts w:ascii="Carlito" w:hAnsi="Carlito"/>
                <w:b w:val="0"/>
                <w:i w:val="0"/>
                <w:sz w:val="19"/>
              </w:rPr>
              <w:t>Company case number, the version analyzed, and any merged record numbers</w:t>
            </w:r>
          </w:p>
          <w:p>
            <w:pPr>
              <w:spacing w:before="20" w:after="20" w:line="254" w:lineRule="auto"/>
            </w:pPr>
            <w:r>
              <w:rPr>
                <w:rFonts w:ascii="Carlito" w:hAnsi="Carlito"/>
                <w:b w:val="0"/>
                <w:i/>
                <w:color w:val="4A5B63"/>
                <w:sz w:val="17"/>
              </w:rPr>
              <w:t>One identifier means one patient throughout the assessment.</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Product</w:t>
            </w:r>
          </w:p>
        </w:tc>
        <w:tc>
          <w:tcPr>
            <w:tcW w:type="dxa" w:w="3744"/>
          </w:tcPr>
          <w:p>
            <w:pPr>
              <w:spacing w:before="20" w:after="20" w:line="254" w:lineRule="auto"/>
            </w:pPr>
            <w:r>
              <w:rPr>
                <w:rFonts w:ascii="Carlito" w:hAnsi="Carlito"/>
                <w:b w:val="0"/>
                <w:i w:val="0"/>
                <w:sz w:val="19"/>
              </w:rPr>
              <w:t>Active moiety, formulation, route, strength, dose, batch or device version where relevant</w:t>
            </w:r>
          </w:p>
          <w:p>
            <w:pPr>
              <w:spacing w:before="20" w:after="20" w:line="254" w:lineRule="auto"/>
            </w:pPr>
            <w:r>
              <w:rPr>
                <w:rFonts w:ascii="Carlito" w:hAnsi="Carlito"/>
                <w:b w:val="0"/>
                <w:i/>
                <w:color w:val="4A5B63"/>
                <w:sz w:val="17"/>
              </w:rPr>
              <w:t>For a biologic or combination product, brand, presentation and batch must survive every analytic step.</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Event as coded and as described</w:t>
            </w:r>
          </w:p>
        </w:tc>
        <w:tc>
          <w:tcPr>
            <w:tcW w:type="dxa" w:w="3744"/>
          </w:tcPr>
          <w:p>
            <w:pPr>
              <w:spacing w:before="20" w:after="20" w:line="254" w:lineRule="auto"/>
            </w:pPr>
            <w:r>
              <w:rPr>
                <w:rFonts w:ascii="Carlito" w:hAnsi="Carlito"/>
                <w:b w:val="0"/>
                <w:i w:val="0"/>
                <w:sz w:val="19"/>
              </w:rPr>
              <w:t>MedDRA preferred term and version; and the clinical entity in the reporter's words</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Report source and type</w:t>
            </w:r>
          </w:p>
        </w:tc>
        <w:tc>
          <w:tcPr>
            <w:tcW w:type="dxa" w:w="3744"/>
          </w:tcPr>
          <w:p>
            <w:pPr>
              <w:spacing w:before="20" w:after="20" w:line="254" w:lineRule="auto"/>
            </w:pPr>
            <w:r>
              <w:rPr>
                <w:rFonts w:ascii="Carlito" w:hAnsi="Carlito"/>
                <w:b w:val="0"/>
                <w:i w:val="0"/>
                <w:sz w:val="19"/>
              </w:rPr>
              <w:t>Spontaneous, literature, study, programme; country; reporter qualification; medically confirmed or not</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Date received, data cut</w:t>
            </w:r>
          </w:p>
        </w:tc>
        <w:tc>
          <w:tcPr>
            <w:tcW w:type="dxa" w:w="3744"/>
          </w:tcPr>
          <w:p>
            <w:pPr>
              <w:spacing w:before="20" w:after="20" w:line="254" w:lineRule="auto"/>
            </w:pPr>
            <w:r>
              <w:rPr>
                <w:rFonts w:ascii="Carlito" w:hAnsi="Carlito"/>
                <w:b w:val="0"/>
                <w:i w:val="0"/>
                <w:sz w:val="19"/>
              </w:rPr>
              <w:t>Date of receipt and the frozen data cut under which this review is performed</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Reviewer and date</w:t>
            </w:r>
          </w:p>
        </w:tc>
        <w:tc>
          <w:tcPr>
            <w:tcW w:type="dxa" w:w="3744"/>
          </w:tcPr>
          <w:p>
            <w:pPr>
              <w:spacing w:before="20" w:after="20" w:line="254" w:lineRule="auto"/>
            </w:pPr>
            <w:r>
              <w:rPr>
                <w:rFonts w:ascii="Carlito" w:hAnsi="Carlito"/>
                <w:b w:val="0"/>
                <w:i w:val="0"/>
                <w:sz w:val="19"/>
              </w:rPr>
              <w:t>Name, role, qualification to make a medical judgment, date</w:t>
            </w:r>
          </w:p>
        </w:tc>
        <w:tc>
          <w:tcPr>
            <w:tcW w:type="dxa" w:w="3557"/>
          </w:tcPr>
          <w:p>
            <w:pPr>
              <w:spacing w:before="20" w:after="20" w:line="254" w:lineRule="auto"/>
            </w:pPr>
          </w:p>
        </w:tc>
      </w:tr>
    </w:tbl>
    <w:p>
      <w:pPr>
        <w:spacing w:after="40"/>
      </w:pPr>
    </w:p>
    <w:p>
      <w:pPr>
        <w:pStyle w:val="Heading1"/>
      </w:pPr>
      <w:r>
        <w:t>Structured medical review</w:t>
      </w:r>
    </w:p>
    <w:p>
      <w:r>
        <w:t>One row per clinical domain. Complete every cell, including those where the honest entry is “not reported”.</w:t>
      </w:r>
    </w:p>
    <w:tbl>
      <w:tblPr>
        <w:tblStyle w:val="ToolkitTable"/>
        <w:tblW w:type="auto" w:w="0"/>
        <w:jc w:val="left"/>
        <w:tblLayout w:type="fixed"/>
        <w:tblLook w:val="04A0" w:firstRow="1" w:lastRow="0" w:firstColumn="0" w:lastColumn="0" w:noHBand="0" w:noVBand="1"/>
      </w:tblPr>
      <w:tblGrid>
        <w:gridCol w:w="1404"/>
        <w:gridCol w:w="2246"/>
        <w:gridCol w:w="1591"/>
        <w:gridCol w:w="2059"/>
        <w:gridCol w:w="2059"/>
      </w:tblGrid>
      <w:tr>
        <w:trPr>
          <w:tblHeader/>
        </w:trPr>
        <w:tc>
          <w:tcPr>
            <w:tcW w:type="dxa" w:w="1404"/>
          </w:tcPr>
          <w:p>
            <w:pPr>
              <w:spacing w:before="20" w:after="20" w:line="254" w:lineRule="auto"/>
            </w:pPr>
            <w:r>
              <w:rPr>
                <w:rFonts w:ascii="Carlito" w:hAnsi="Carlito"/>
                <w:b/>
                <w:i w:val="0"/>
                <w:color w:val="FFFFFF"/>
                <w:sz w:val="19"/>
              </w:rPr>
              <w:t>Domain</w:t>
            </w:r>
          </w:p>
        </w:tc>
        <w:tc>
          <w:tcPr>
            <w:tcW w:type="dxa" w:w="2246"/>
          </w:tcPr>
          <w:p>
            <w:pPr>
              <w:spacing w:before="20" w:after="20" w:line="254" w:lineRule="auto"/>
            </w:pPr>
            <w:r>
              <w:rPr>
                <w:rFonts w:ascii="Carlito" w:hAnsi="Carlito"/>
                <w:b/>
                <w:i w:val="0"/>
                <w:color w:val="FFFFFF"/>
                <w:sz w:val="19"/>
              </w:rPr>
              <w:t>Observed facts (from the report)</w:t>
            </w:r>
          </w:p>
        </w:tc>
        <w:tc>
          <w:tcPr>
            <w:tcW w:type="dxa" w:w="1591"/>
          </w:tcPr>
          <w:p>
            <w:pPr>
              <w:spacing w:before="20" w:after="20" w:line="254" w:lineRule="auto"/>
            </w:pPr>
            <w:r>
              <w:rPr>
                <w:rFonts w:ascii="Carlito" w:hAnsi="Carlito"/>
                <w:b/>
                <w:i w:val="0"/>
                <w:color w:val="FFFFFF"/>
                <w:sz w:val="19"/>
              </w:rPr>
              <w:t>Reporter assessment</w:t>
            </w:r>
          </w:p>
        </w:tc>
        <w:tc>
          <w:tcPr>
            <w:tcW w:type="dxa" w:w="2059"/>
          </w:tcPr>
          <w:p>
            <w:pPr>
              <w:spacing w:before="20" w:after="20" w:line="254" w:lineRule="auto"/>
            </w:pPr>
            <w:r>
              <w:rPr>
                <w:rFonts w:ascii="Carlito" w:hAnsi="Carlito"/>
                <w:b/>
                <w:i w:val="0"/>
                <w:color w:val="FFFFFF"/>
                <w:sz w:val="19"/>
              </w:rPr>
              <w:t>Reviewer interpretation</w:t>
            </w:r>
          </w:p>
        </w:tc>
        <w:tc>
          <w:tcPr>
            <w:tcW w:type="dxa" w:w="2059"/>
          </w:tcPr>
          <w:p>
            <w:pPr>
              <w:spacing w:before="20" w:after="20" w:line="254" w:lineRule="auto"/>
            </w:pPr>
            <w:r>
              <w:rPr>
                <w:rFonts w:ascii="Carlito" w:hAnsi="Carlito"/>
                <w:b/>
                <w:i w:val="0"/>
                <w:color w:val="FFFFFF"/>
                <w:sz w:val="19"/>
              </w:rPr>
              <w:t>Alternatives tested / information needed</w:t>
            </w:r>
          </w:p>
        </w:tc>
      </w:tr>
      <w:tr>
        <w:tc>
          <w:tcPr>
            <w:tcW w:type="dxa" w:w="1404"/>
          </w:tcPr>
          <w:p>
            <w:pPr>
              <w:spacing w:before="20" w:after="20" w:line="254" w:lineRule="auto"/>
            </w:pPr>
            <w:r>
              <w:rPr>
                <w:rFonts w:ascii="Carlito" w:hAnsi="Carlito"/>
                <w:b w:val="0"/>
                <w:i w:val="0"/>
                <w:sz w:val="19"/>
              </w:rPr>
              <w:t>Event characterization</w:t>
            </w:r>
          </w:p>
        </w:tc>
        <w:tc>
          <w:tcPr>
            <w:tcW w:type="dxa" w:w="2246"/>
          </w:tcPr>
          <w:p>
            <w:pPr>
              <w:spacing w:before="20" w:after="20" w:line="254" w:lineRule="auto"/>
            </w:pPr>
          </w:p>
          <w:p>
            <w:pPr>
              <w:spacing w:before="20" w:after="20" w:line="254" w:lineRule="auto"/>
            </w:pPr>
            <w:r>
              <w:rPr>
                <w:rFonts w:ascii="Carlito" w:hAnsi="Carlito"/>
                <w:b w:val="0"/>
                <w:i/>
                <w:color w:val="4A5B63"/>
                <w:sz w:val="17"/>
              </w:rPr>
              <w:t>Diagnosis, phenotype, severity, supporting tests with values and units.</w:t>
            </w:r>
          </w:p>
        </w:tc>
        <w:tc>
          <w:tcPr>
            <w:tcW w:type="dxa" w:w="1591"/>
          </w:tcPr>
          <w:p>
            <w:pPr>
              <w:spacing w:before="20" w:after="20" w:line="254" w:lineRule="auto"/>
            </w:pPr>
          </w:p>
          <w:p>
            <w:pPr>
              <w:spacing w:before="20" w:after="20" w:line="254" w:lineRule="auto"/>
            </w:pPr>
            <w:r>
              <w:rPr>
                <w:rFonts w:ascii="Carlito" w:hAnsi="Carlito"/>
                <w:b w:val="0"/>
                <w:i/>
                <w:color w:val="4A5B63"/>
                <w:sz w:val="17"/>
              </w:rPr>
              <w:t>The reporter's diagnosis, quoted.</w:t>
            </w:r>
          </w:p>
        </w:tc>
        <w:tc>
          <w:tcPr>
            <w:tcW w:type="dxa" w:w="2059"/>
          </w:tcPr>
          <w:p>
            <w:pPr>
              <w:spacing w:before="20" w:after="20" w:line="254" w:lineRule="auto"/>
            </w:pPr>
          </w:p>
          <w:p>
            <w:pPr>
              <w:spacing w:before="20" w:after="20" w:line="254" w:lineRule="auto"/>
            </w:pPr>
            <w:r>
              <w:rPr>
                <w:rFonts w:ascii="Carlito" w:hAnsi="Carlito"/>
                <w:b w:val="0"/>
                <w:i/>
                <w:color w:val="4A5B63"/>
                <w:sz w:val="17"/>
              </w:rPr>
              <w:t>Does it meet the case definition? Name the criterion met or missed.</w:t>
            </w:r>
          </w:p>
        </w:tc>
        <w:tc>
          <w:tcPr>
            <w:tcW w:type="dxa" w:w="2059"/>
          </w:tcPr>
          <w:p>
            <w:pPr>
              <w:spacing w:before="20" w:after="20" w:line="254" w:lineRule="auto"/>
            </w:pPr>
          </w:p>
          <w:p>
            <w:pPr>
              <w:spacing w:before="20" w:after="20" w:line="254" w:lineRule="auto"/>
            </w:pPr>
            <w:r>
              <w:rPr>
                <w:rFonts w:ascii="Carlito" w:hAnsi="Carlito"/>
                <w:b w:val="0"/>
                <w:i/>
                <w:color w:val="4A5B63"/>
                <w:sz w:val="17"/>
              </w:rPr>
              <w:t>Diagnostic tests not performed.</w:t>
            </w:r>
          </w:p>
        </w:tc>
      </w:tr>
      <w:tr>
        <w:tc>
          <w:tcPr>
            <w:tcW w:type="dxa" w:w="1404"/>
          </w:tcPr>
          <w:p>
            <w:pPr>
              <w:spacing w:before="20" w:after="20" w:line="254" w:lineRule="auto"/>
            </w:pPr>
            <w:r>
              <w:rPr>
                <w:rFonts w:ascii="Carlito" w:hAnsi="Carlito"/>
                <w:b w:val="0"/>
                <w:i w:val="0"/>
                <w:sz w:val="19"/>
              </w:rPr>
              <w:t>Temporality</w:t>
            </w:r>
          </w:p>
        </w:tc>
        <w:tc>
          <w:tcPr>
            <w:tcW w:type="dxa" w:w="2246"/>
          </w:tcPr>
          <w:p>
            <w:pPr>
              <w:spacing w:before="20" w:after="20" w:line="254" w:lineRule="auto"/>
            </w:pPr>
          </w:p>
          <w:p>
            <w:pPr>
              <w:spacing w:before="20" w:after="20" w:line="254" w:lineRule="auto"/>
            </w:pPr>
            <w:r>
              <w:rPr>
                <w:rFonts w:ascii="Carlito" w:hAnsi="Carlito"/>
                <w:b w:val="0"/>
                <w:i/>
                <w:color w:val="4A5B63"/>
                <w:sz w:val="17"/>
              </w:rPr>
              <w:t>Start date, dose changes, onset date, diagnosis date.</w:t>
            </w:r>
          </w:p>
        </w:tc>
        <w:tc>
          <w:tcPr>
            <w:tcW w:type="dxa" w:w="1591"/>
          </w:tcPr>
          <w:p>
            <w:pPr>
              <w:spacing w:before="20" w:after="20" w:line="254" w:lineRule="auto"/>
            </w:pPr>
          </w:p>
          <w:p>
            <w:pPr>
              <w:spacing w:before="20" w:after="20" w:line="254" w:lineRule="auto"/>
            </w:pPr>
            <w:r>
              <w:rPr>
                <w:rFonts w:ascii="Carlito" w:hAnsi="Carlito"/>
                <w:b w:val="0"/>
                <w:i/>
                <w:color w:val="4A5B63"/>
                <w:sz w:val="17"/>
              </w:rPr>
              <w:t>The reporter's view on timing.</w:t>
            </w:r>
          </w:p>
        </w:tc>
        <w:tc>
          <w:tcPr>
            <w:tcW w:type="dxa" w:w="2059"/>
          </w:tcPr>
          <w:p>
            <w:pPr>
              <w:spacing w:before="20" w:after="20" w:line="254" w:lineRule="auto"/>
            </w:pPr>
          </w:p>
          <w:p>
            <w:pPr>
              <w:spacing w:before="20" w:after="20" w:line="254" w:lineRule="auto"/>
            </w:pPr>
            <w:r>
              <w:rPr>
                <w:rFonts w:ascii="Carlito" w:hAnsi="Carlito"/>
                <w:b w:val="0"/>
                <w:i/>
                <w:color w:val="4A5B63"/>
                <w:sz w:val="17"/>
              </w:rPr>
              <w:t>Latency against the expected induction window for the hypothesized mechanism.</w:t>
            </w:r>
          </w:p>
        </w:tc>
        <w:tc>
          <w:tcPr>
            <w:tcW w:type="dxa" w:w="2059"/>
          </w:tcPr>
          <w:p>
            <w:pPr>
              <w:spacing w:before="20" w:after="20" w:line="254" w:lineRule="auto"/>
            </w:pPr>
          </w:p>
          <w:p>
            <w:pPr>
              <w:spacing w:before="20" w:after="20" w:line="254" w:lineRule="auto"/>
            </w:pPr>
            <w:r>
              <w:rPr>
                <w:rFonts w:ascii="Carlito" w:hAnsi="Carlito"/>
                <w:b w:val="0"/>
                <w:i/>
                <w:color w:val="4A5B63"/>
                <w:sz w:val="17"/>
              </w:rPr>
              <w:t>Competing exposure windows.</w:t>
            </w:r>
          </w:p>
        </w:tc>
      </w:tr>
      <w:tr>
        <w:tc>
          <w:tcPr>
            <w:tcW w:type="dxa" w:w="1404"/>
          </w:tcPr>
          <w:p>
            <w:pPr>
              <w:spacing w:before="20" w:after="20" w:line="254" w:lineRule="auto"/>
            </w:pPr>
            <w:r>
              <w:rPr>
                <w:rFonts w:ascii="Carlito" w:hAnsi="Carlito"/>
                <w:b w:val="0"/>
                <w:i w:val="0"/>
                <w:sz w:val="19"/>
              </w:rPr>
              <w:t>Dechallenge</w:t>
            </w:r>
          </w:p>
        </w:tc>
        <w:tc>
          <w:tcPr>
            <w:tcW w:type="dxa" w:w="2246"/>
          </w:tcPr>
          <w:p>
            <w:pPr>
              <w:spacing w:before="20" w:after="20" w:line="254" w:lineRule="auto"/>
            </w:pPr>
          </w:p>
          <w:p>
            <w:pPr>
              <w:spacing w:before="20" w:after="20" w:line="254" w:lineRule="auto"/>
            </w:pPr>
            <w:r>
              <w:rPr>
                <w:rFonts w:ascii="Carlito" w:hAnsi="Carlito"/>
                <w:b w:val="0"/>
                <w:i/>
                <w:color w:val="4A5B63"/>
                <w:sz w:val="17"/>
              </w:rPr>
              <w:t>Date stopped, complete or partial, co-interventions given at the same time.</w:t>
            </w:r>
          </w:p>
        </w:tc>
        <w:tc>
          <w:tcPr>
            <w:tcW w:type="dxa" w:w="1591"/>
          </w:tcPr>
          <w:p>
            <w:pPr>
              <w:spacing w:before="20" w:after="20" w:line="254" w:lineRule="auto"/>
            </w:pPr>
          </w:p>
          <w:p>
            <w:pPr>
              <w:spacing w:before="20" w:after="20" w:line="254" w:lineRule="auto"/>
            </w:pPr>
            <w:r>
              <w:rPr>
                <w:rFonts w:ascii="Carlito" w:hAnsi="Carlito"/>
                <w:b w:val="0"/>
                <w:i/>
                <w:color w:val="4A5B63"/>
                <w:sz w:val="17"/>
              </w:rPr>
              <w:t>The reporter's outcome statement.</w:t>
            </w:r>
          </w:p>
        </w:tc>
        <w:tc>
          <w:tcPr>
            <w:tcW w:type="dxa" w:w="2059"/>
          </w:tcPr>
          <w:p>
            <w:pPr>
              <w:spacing w:before="20" w:after="20" w:line="254" w:lineRule="auto"/>
            </w:pPr>
          </w:p>
          <w:p>
            <w:pPr>
              <w:spacing w:before="20" w:after="20" w:line="254" w:lineRule="auto"/>
            </w:pPr>
            <w:r>
              <w:rPr>
                <w:rFonts w:ascii="Carlito" w:hAnsi="Carlito"/>
                <w:b w:val="0"/>
                <w:i/>
                <w:color w:val="4A5B63"/>
                <w:sz w:val="17"/>
              </w:rPr>
              <w:t>Interpretable or confounded, with the reason.</w:t>
            </w:r>
          </w:p>
        </w:tc>
        <w:tc>
          <w:tcPr>
            <w:tcW w:type="dxa" w:w="2059"/>
          </w:tcPr>
          <w:p>
            <w:pPr>
              <w:spacing w:before="20" w:after="20" w:line="254" w:lineRule="auto"/>
            </w:pPr>
          </w:p>
          <w:p>
            <w:pPr>
              <w:spacing w:before="20" w:after="20" w:line="254" w:lineRule="auto"/>
            </w:pPr>
            <w:r>
              <w:rPr>
                <w:rFonts w:ascii="Carlito" w:hAnsi="Carlito"/>
                <w:b w:val="0"/>
                <w:i/>
                <w:color w:val="4A5B63"/>
                <w:sz w:val="17"/>
              </w:rPr>
              <w:t>Was recovery objectively documented?</w:t>
            </w:r>
          </w:p>
        </w:tc>
      </w:tr>
      <w:tr>
        <w:tc>
          <w:tcPr>
            <w:tcW w:type="dxa" w:w="1404"/>
          </w:tcPr>
          <w:p>
            <w:pPr>
              <w:spacing w:before="20" w:after="20" w:line="254" w:lineRule="auto"/>
            </w:pPr>
            <w:r>
              <w:rPr>
                <w:rFonts w:ascii="Carlito" w:hAnsi="Carlito"/>
                <w:b w:val="0"/>
                <w:i w:val="0"/>
                <w:sz w:val="19"/>
              </w:rPr>
              <w:t>Rechallenge</w:t>
            </w:r>
          </w:p>
        </w:tc>
        <w:tc>
          <w:tcPr>
            <w:tcW w:type="dxa" w:w="2246"/>
          </w:tcPr>
          <w:p>
            <w:pPr>
              <w:spacing w:before="20" w:after="20" w:line="254" w:lineRule="auto"/>
            </w:pPr>
          </w:p>
          <w:p>
            <w:pPr>
              <w:spacing w:before="20" w:after="20" w:line="254" w:lineRule="auto"/>
            </w:pPr>
            <w:r>
              <w:rPr>
                <w:rFonts w:ascii="Carlito" w:hAnsi="Carlito"/>
                <w:b w:val="0"/>
                <w:i/>
                <w:color w:val="4A5B63"/>
                <w:sz w:val="17"/>
              </w:rPr>
              <w:t>Date, dose, duration, whether a recurrent event is described.</w:t>
            </w:r>
          </w:p>
        </w:tc>
        <w:tc>
          <w:tcPr>
            <w:tcW w:type="dxa" w:w="1591"/>
          </w:tcPr>
          <w:p>
            <w:pPr>
              <w:spacing w:before="20" w:after="20" w:line="254" w:lineRule="auto"/>
            </w:pPr>
          </w:p>
          <w:p>
            <w:pPr>
              <w:spacing w:before="20" w:after="20" w:line="254" w:lineRule="auto"/>
            </w:pPr>
            <w:r>
              <w:rPr>
                <w:rFonts w:ascii="Carlito" w:hAnsi="Carlito"/>
                <w:b w:val="0"/>
                <w:i/>
                <w:color w:val="4A5B63"/>
                <w:sz w:val="17"/>
              </w:rPr>
              <w:t>The reporter's rechallenge field as submitted.</w:t>
            </w:r>
          </w:p>
        </w:tc>
        <w:tc>
          <w:tcPr>
            <w:tcW w:type="dxa" w:w="2059"/>
          </w:tcPr>
          <w:p>
            <w:pPr>
              <w:spacing w:before="20" w:after="20" w:line="254" w:lineRule="auto"/>
            </w:pPr>
          </w:p>
          <w:p>
            <w:pPr>
              <w:spacing w:before="20" w:after="20" w:line="254" w:lineRule="auto"/>
            </w:pPr>
            <w:r>
              <w:rPr>
                <w:rFonts w:ascii="Carlito" w:hAnsi="Carlito"/>
                <w:b w:val="0"/>
                <w:i/>
                <w:color w:val="4A5B63"/>
                <w:sz w:val="17"/>
              </w:rPr>
              <w:t>Verified positive, verified negative, or not done. Not done is not negative.</w:t>
            </w:r>
          </w:p>
        </w:tc>
        <w:tc>
          <w:tcPr>
            <w:tcW w:type="dxa" w:w="2059"/>
          </w:tcPr>
          <w:p>
            <w:pPr>
              <w:spacing w:before="20" w:after="20" w:line="254" w:lineRule="auto"/>
            </w:pPr>
          </w:p>
          <w:p>
            <w:pPr>
              <w:spacing w:before="20" w:after="20" w:line="254" w:lineRule="auto"/>
            </w:pPr>
            <w:r>
              <w:rPr>
                <w:rFonts w:ascii="Carlito" w:hAnsi="Carlito"/>
                <w:b w:val="0"/>
                <w:i/>
                <w:color w:val="4A5B63"/>
                <w:sz w:val="17"/>
              </w:rPr>
              <w:t>Conditions of re-exposure.</w:t>
            </w:r>
          </w:p>
        </w:tc>
      </w:tr>
      <w:tr>
        <w:tc>
          <w:tcPr>
            <w:tcW w:type="dxa" w:w="1404"/>
          </w:tcPr>
          <w:p>
            <w:pPr>
              <w:spacing w:before="20" w:after="20" w:line="254" w:lineRule="auto"/>
            </w:pPr>
            <w:r>
              <w:rPr>
                <w:rFonts w:ascii="Carlito" w:hAnsi="Carlito"/>
                <w:b w:val="0"/>
                <w:i w:val="0"/>
                <w:sz w:val="19"/>
              </w:rPr>
              <w:t>Susceptibility and cofactors</w:t>
            </w:r>
          </w:p>
        </w:tc>
        <w:tc>
          <w:tcPr>
            <w:tcW w:type="dxa" w:w="2246"/>
          </w:tcPr>
          <w:p>
            <w:pPr>
              <w:spacing w:before="20" w:after="20" w:line="254" w:lineRule="auto"/>
            </w:pPr>
          </w:p>
          <w:p>
            <w:pPr>
              <w:spacing w:before="20" w:after="20" w:line="254" w:lineRule="auto"/>
            </w:pPr>
            <w:r>
              <w:rPr>
                <w:rFonts w:ascii="Carlito" w:hAnsi="Carlito"/>
                <w:b w:val="0"/>
                <w:i/>
                <w:color w:val="4A5B63"/>
                <w:sz w:val="17"/>
              </w:rPr>
              <w:t>Age, sex, organ function, electrolytes, comorbidity, co-medication.</w:t>
            </w:r>
          </w:p>
        </w:tc>
        <w:tc>
          <w:tcPr>
            <w:tcW w:type="dxa" w:w="1591"/>
          </w:tcPr>
          <w:p>
            <w:pPr>
              <w:spacing w:before="20" w:after="20" w:line="254" w:lineRule="auto"/>
            </w:pPr>
          </w:p>
          <w:p>
            <w:pPr>
              <w:spacing w:before="20" w:after="20" w:line="254" w:lineRule="auto"/>
            </w:pPr>
            <w:r>
              <w:rPr>
                <w:rFonts w:ascii="Carlito" w:hAnsi="Carlito"/>
                <w:b w:val="0"/>
                <w:i/>
                <w:color w:val="4A5B63"/>
                <w:sz w:val="17"/>
              </w:rPr>
              <w:t>The reporter's stated risk factors.</w:t>
            </w:r>
          </w:p>
        </w:tc>
        <w:tc>
          <w:tcPr>
            <w:tcW w:type="dxa" w:w="2059"/>
          </w:tcPr>
          <w:p>
            <w:pPr>
              <w:spacing w:before="20" w:after="20" w:line="254" w:lineRule="auto"/>
            </w:pPr>
          </w:p>
          <w:p>
            <w:pPr>
              <w:spacing w:before="20" w:after="20" w:line="254" w:lineRule="auto"/>
            </w:pPr>
            <w:r>
              <w:rPr>
                <w:rFonts w:ascii="Carlito" w:hAnsi="Carlito"/>
                <w:b w:val="0"/>
                <w:i/>
                <w:color w:val="4A5B63"/>
                <w:sz w:val="17"/>
              </w:rPr>
              <w:t>Shared with other cases in the series? Name which.</w:t>
            </w:r>
          </w:p>
        </w:tc>
        <w:tc>
          <w:tcPr>
            <w:tcW w:type="dxa" w:w="2059"/>
          </w:tcPr>
          <w:p>
            <w:pPr>
              <w:spacing w:before="20" w:after="20" w:line="254" w:lineRule="auto"/>
            </w:pPr>
          </w:p>
          <w:p>
            <w:pPr>
              <w:spacing w:before="20" w:after="20" w:line="254" w:lineRule="auto"/>
            </w:pPr>
            <w:r>
              <w:rPr>
                <w:rFonts w:ascii="Carlito" w:hAnsi="Carlito"/>
                <w:b w:val="0"/>
                <w:i/>
                <w:color w:val="4A5B63"/>
                <w:sz w:val="17"/>
              </w:rPr>
              <w:t>Missing laboratory values.</w:t>
            </w:r>
          </w:p>
        </w:tc>
      </w:tr>
      <w:tr>
        <w:tc>
          <w:tcPr>
            <w:tcW w:type="dxa" w:w="1404"/>
          </w:tcPr>
          <w:p>
            <w:pPr>
              <w:spacing w:before="20" w:after="20" w:line="254" w:lineRule="auto"/>
            </w:pPr>
            <w:r>
              <w:rPr>
                <w:rFonts w:ascii="Carlito" w:hAnsi="Carlito"/>
                <w:b w:val="0"/>
                <w:i w:val="0"/>
                <w:sz w:val="19"/>
              </w:rPr>
              <w:t>Alternative causes</w:t>
            </w:r>
          </w:p>
        </w:tc>
        <w:tc>
          <w:tcPr>
            <w:tcW w:type="dxa" w:w="2246"/>
          </w:tcPr>
          <w:p>
            <w:pPr>
              <w:spacing w:before="20" w:after="20" w:line="254" w:lineRule="auto"/>
            </w:pPr>
          </w:p>
          <w:p>
            <w:pPr>
              <w:spacing w:before="20" w:after="20" w:line="254" w:lineRule="auto"/>
            </w:pPr>
            <w:r>
              <w:rPr>
                <w:rFonts w:ascii="Carlito" w:hAnsi="Carlito"/>
                <w:b w:val="0"/>
                <w:i/>
                <w:color w:val="4A5B63"/>
                <w:sz w:val="17"/>
              </w:rPr>
              <w:t>Each candidate named separately, with the evidence for and against it.</w:t>
            </w:r>
          </w:p>
        </w:tc>
        <w:tc>
          <w:tcPr>
            <w:tcW w:type="dxa" w:w="1591"/>
          </w:tcPr>
          <w:p>
            <w:pPr>
              <w:spacing w:before="20" w:after="20" w:line="254" w:lineRule="auto"/>
            </w:pPr>
          </w:p>
          <w:p>
            <w:pPr>
              <w:spacing w:before="20" w:after="20" w:line="254" w:lineRule="auto"/>
            </w:pPr>
            <w:r>
              <w:rPr>
                <w:rFonts w:ascii="Carlito" w:hAnsi="Carlito"/>
                <w:b w:val="0"/>
                <w:i/>
                <w:color w:val="4A5B63"/>
                <w:sz w:val="17"/>
              </w:rPr>
              <w:t>The reporter's exclusions.</w:t>
            </w:r>
          </w:p>
        </w:tc>
        <w:tc>
          <w:tcPr>
            <w:tcW w:type="dxa" w:w="2059"/>
          </w:tcPr>
          <w:p>
            <w:pPr>
              <w:spacing w:before="20" w:after="20" w:line="254" w:lineRule="auto"/>
            </w:pPr>
          </w:p>
          <w:p>
            <w:pPr>
              <w:spacing w:before="20" w:after="20" w:line="254" w:lineRule="auto"/>
            </w:pPr>
            <w:r>
              <w:rPr>
                <w:rFonts w:ascii="Carlito" w:hAnsi="Carlito"/>
                <w:b w:val="0"/>
                <w:i/>
                <w:color w:val="4A5B63"/>
                <w:sz w:val="17"/>
              </w:rPr>
              <w:t>Supported, refuted, or unresolved — for each candidate individually.</w:t>
            </w:r>
          </w:p>
        </w:tc>
        <w:tc>
          <w:tcPr>
            <w:tcW w:type="dxa" w:w="2059"/>
          </w:tcPr>
          <w:p>
            <w:pPr>
              <w:spacing w:before="20" w:after="20" w:line="254" w:lineRule="auto"/>
            </w:pPr>
          </w:p>
          <w:p>
            <w:pPr>
              <w:spacing w:before="20" w:after="20" w:line="254" w:lineRule="auto"/>
            </w:pPr>
            <w:r>
              <w:rPr>
                <w:rFonts w:ascii="Carlito" w:hAnsi="Carlito"/>
                <w:b w:val="0"/>
                <w:i/>
                <w:color w:val="4A5B63"/>
                <w:sz w:val="17"/>
              </w:rPr>
              <w:t>The specific test or record required.</w:t>
            </w:r>
          </w:p>
        </w:tc>
      </w:tr>
    </w:tbl>
    <w:p>
      <w:pPr>
        <w:spacing w:after="40"/>
      </w:pPr>
    </w:p>
    <w:p>
      <w:pPr>
        <w:pStyle w:val="Heading1"/>
      </w:pPr>
      <w:r>
        <w:t>Reviewer conclusion for this case</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Does the case meet the case definition?</w:t>
            </w:r>
          </w:p>
        </w:tc>
        <w:tc>
          <w:tcPr>
            <w:tcW w:type="dxa" w:w="3744"/>
          </w:tcPr>
          <w:p>
            <w:pPr>
              <w:spacing w:before="20" w:after="20" w:line="254" w:lineRule="auto"/>
            </w:pPr>
            <w:r>
              <w:rPr>
                <w:rFonts w:ascii="Carlito" w:hAnsi="Carlito"/>
                <w:b w:val="0"/>
                <w:i w:val="0"/>
                <w:sz w:val="19"/>
              </w:rPr>
              <w:t>Yes / no / cannot be determined, with the criterion that decided it</w:t>
            </w:r>
          </w:p>
          <w:p>
            <w:pPr>
              <w:spacing w:before="20" w:after="20" w:line="254" w:lineRule="auto"/>
            </w:pPr>
            <w:r>
              <w:rPr>
                <w:rFonts w:ascii="Carlito" w:hAnsi="Carlito"/>
                <w:b w:val="0"/>
                <w:i/>
                <w:color w:val="4A5B63"/>
                <w:sz w:val="17"/>
              </w:rPr>
              <w:t>Cannot be determined is a legitimate and informative entry. Do not force a classification.</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What this case contributes to the series</w:t>
            </w:r>
          </w:p>
        </w:tc>
        <w:tc>
          <w:tcPr>
            <w:tcW w:type="dxa" w:w="3744"/>
          </w:tcPr>
          <w:p>
            <w:pPr>
              <w:spacing w:before="20" w:after="20" w:line="254" w:lineRule="auto"/>
            </w:pPr>
            <w:r>
              <w:rPr>
                <w:rFonts w:ascii="Carlito" w:hAnsi="Carlito"/>
                <w:b w:val="0"/>
                <w:i w:val="0"/>
                <w:sz w:val="19"/>
              </w:rPr>
              <w:t>Phenotype, latency, dechallenge, mechanism, or nothing beyond a count</w:t>
            </w:r>
          </w:p>
          <w:p>
            <w:pPr>
              <w:spacing w:before="20" w:after="20" w:line="254" w:lineRule="auto"/>
            </w:pPr>
            <w:r>
              <w:rPr>
                <w:rFonts w:ascii="Carlito" w:hAnsi="Carlito"/>
                <w:b w:val="0"/>
                <w:i/>
                <w:color w:val="4A5B63"/>
                <w:sz w:val="17"/>
              </w:rPr>
              <w:t>A case that contributes only a count should be recorded as contributing only a count.</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Targeted follow-up issued</w:t>
            </w:r>
          </w:p>
        </w:tc>
        <w:tc>
          <w:tcPr>
            <w:tcW w:type="dxa" w:w="3744"/>
          </w:tcPr>
          <w:p>
            <w:pPr>
              <w:spacing w:before="20" w:after="20" w:line="254" w:lineRule="auto"/>
            </w:pPr>
            <w:r>
              <w:rPr>
                <w:rFonts w:ascii="Carlito" w:hAnsi="Carlito"/>
                <w:b w:val="0"/>
                <w:i w:val="0"/>
                <w:sz w:val="19"/>
              </w:rPr>
              <w:t>To whom, on what date, asking what, due when</w:t>
            </w:r>
          </w:p>
          <w:p>
            <w:pPr>
              <w:spacing w:before="20" w:after="20" w:line="254" w:lineRule="auto"/>
            </w:pPr>
            <w:r>
              <w:rPr>
                <w:rFonts w:ascii="Carlito" w:hAnsi="Carlito"/>
                <w:b w:val="0"/>
                <w:i/>
                <w:color w:val="4A5B63"/>
                <w:sz w:val="17"/>
              </w:rPr>
              <w:t>List the specific data elements requested. 'Further information requested' is not a follow-up.</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Disposition</w:t>
            </w:r>
          </w:p>
        </w:tc>
        <w:tc>
          <w:tcPr>
            <w:tcW w:type="dxa" w:w="3744"/>
          </w:tcPr>
          <w:p>
            <w:pPr>
              <w:spacing w:before="20" w:after="20" w:line="254" w:lineRule="auto"/>
            </w:pPr>
            <w:r>
              <w:rPr>
                <w:rFonts w:ascii="Carlito" w:hAnsi="Carlito"/>
                <w:b w:val="0"/>
                <w:i w:val="0"/>
                <w:sz w:val="19"/>
              </w:rPr>
              <w:t>Assessable / not assessable pending follow-up / not assessable / duplicate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Second reviewer, where procedure requires</w:t>
            </w:r>
          </w:p>
        </w:tc>
        <w:tc>
          <w:tcPr>
            <w:tcW w:type="dxa" w:w="3744"/>
          </w:tcPr>
          <w:p>
            <w:pPr>
              <w:spacing w:before="20" w:after="20" w:line="254" w:lineRule="auto"/>
            </w:pPr>
            <w:r>
              <w:rPr>
                <w:rFonts w:ascii="Carlito" w:hAnsi="Carlito"/>
                <w:b w:val="0"/>
                <w:i w:val="0"/>
                <w:sz w:val="19"/>
              </w:rPr>
              <w:t>Name, role, date, and any point of disagreement</w:t>
            </w:r>
          </w:p>
          <w:p>
            <w:pPr>
              <w:spacing w:before="20" w:after="20" w:line="254" w:lineRule="auto"/>
            </w:pPr>
            <w:r>
              <w:rPr>
                <w:rFonts w:ascii="Carlito" w:hAnsi="Carlito"/>
                <w:b w:val="0"/>
                <w:i/>
                <w:color w:val="4A5B63"/>
                <w:sz w:val="17"/>
              </w:rPr>
              <w:t>A disagreement recorded is more useful than a concurrence assumed.</w:t>
            </w:r>
          </w:p>
        </w:tc>
        <w:tc>
          <w:tcPr>
            <w:tcW w:type="dxa" w:w="3557"/>
          </w:tcPr>
          <w:p>
            <w:pPr>
              <w:spacing w:before="20" w:after="20" w:line="254" w:lineRule="auto"/>
            </w:pPr>
          </w:p>
        </w:tc>
      </w:tr>
    </w:tbl>
    <w:p>
      <w:pPr>
        <w:spacing w:after="40"/>
      </w:pPr>
    </w:p>
    <w:p>
      <w:pPr>
        <w:pStyle w:val="Heading1"/>
      </w:pPr>
      <w:r>
        <w:t>Series-level coherence check (complete once the form has been run across all cases)</w:t>
      </w:r>
    </w:p>
    <w:tbl>
      <w:tblPr>
        <w:tblStyle w:val="ToolkitTable"/>
        <w:tblW w:type="auto" w:w="0"/>
        <w:jc w:val="left"/>
        <w:tblLayout w:type="fixed"/>
        <w:tblLook w:val="04A0" w:firstRow="1" w:lastRow="0" w:firstColumn="0" w:lastColumn="0" w:noHBand="0" w:noVBand="1"/>
      </w:tblPr>
      <w:tblGrid>
        <w:gridCol w:w="468"/>
        <w:gridCol w:w="5616"/>
        <w:gridCol w:w="3276"/>
      </w:tblGrid>
      <w:tr>
        <w:trPr>
          <w:tblHeader/>
        </w:trPr>
        <w:tc>
          <w:tcPr>
            <w:tcW w:type="dxa" w:w="468"/>
          </w:tcPr>
          <w:p>
            <w:pPr>
              <w:spacing w:before="20" w:after="20" w:line="254" w:lineRule="auto"/>
            </w:pPr>
            <w:r>
              <w:rPr>
                <w:rFonts w:ascii="Carlito" w:hAnsi="Carlito"/>
                <w:b/>
                <w:i w:val="0"/>
                <w:color w:val="FFFFFF"/>
                <w:sz w:val="19"/>
              </w:rPr>
              <w:t>#</w:t>
            </w:r>
          </w:p>
        </w:tc>
        <w:tc>
          <w:tcPr>
            <w:tcW w:type="dxa" w:w="5616"/>
          </w:tcPr>
          <w:p>
            <w:pPr>
              <w:spacing w:before="20" w:after="20" w:line="254" w:lineRule="auto"/>
            </w:pPr>
            <w:r>
              <w:rPr>
                <w:rFonts w:ascii="Carlito" w:hAnsi="Carlito"/>
                <w:b/>
                <w:i w:val="0"/>
                <w:color w:val="FFFFFF"/>
                <w:sz w:val="19"/>
              </w:rPr>
              <w:t>Question</w:t>
            </w:r>
          </w:p>
        </w:tc>
        <w:tc>
          <w:tcPr>
            <w:tcW w:type="dxa" w:w="3276"/>
          </w:tcPr>
          <w:p>
            <w:pPr>
              <w:spacing w:before="20" w:after="20" w:line="254" w:lineRule="auto"/>
            </w:pPr>
            <w:r>
              <w:rPr>
                <w:rFonts w:ascii="Carlito" w:hAnsi="Carlito"/>
                <w:b/>
                <w:i w:val="0"/>
                <w:color w:val="FFFFFF"/>
                <w:sz w:val="19"/>
              </w:rPr>
              <w:t>Finding</w:t>
            </w:r>
          </w:p>
        </w:tc>
      </w:tr>
      <w:tr>
        <w:tc>
          <w:tcPr>
            <w:tcW w:type="dxa" w:w="468"/>
          </w:tcPr>
          <w:p>
            <w:pPr>
              <w:spacing w:before="20" w:after="20" w:line="254" w:lineRule="auto"/>
            </w:pPr>
            <w:r>
              <w:rPr>
                <w:rFonts w:ascii="Carlito" w:hAnsi="Carlito"/>
                <w:b w:val="0"/>
                <w:i w:val="0"/>
                <w:sz w:val="19"/>
              </w:rPr>
              <w:t>1</w:t>
            </w:r>
          </w:p>
        </w:tc>
        <w:tc>
          <w:tcPr>
            <w:tcW w:type="dxa" w:w="5616"/>
          </w:tcPr>
          <w:p>
            <w:pPr>
              <w:spacing w:before="20" w:after="20" w:line="254" w:lineRule="auto"/>
            </w:pPr>
            <w:r>
              <w:rPr>
                <w:rFonts w:ascii="Carlito" w:hAnsi="Carlito"/>
                <w:b w:val="0"/>
                <w:i w:val="0"/>
                <w:sz w:val="19"/>
              </w:rPr>
              <w:t>Do the cases share a phenotype, or only a coded term?</w:t>
            </w:r>
          </w:p>
        </w:tc>
        <w:tc>
          <w:tcPr>
            <w:tcW w:type="dxa" w:w="3276"/>
          </w:tcPr>
          <w:p>
            <w:pPr>
              <w:spacing w:before="20" w:after="20" w:line="254" w:lineRule="auto"/>
            </w:pPr>
          </w:p>
        </w:tc>
      </w:tr>
      <w:tr>
        <w:tc>
          <w:tcPr>
            <w:tcW w:type="dxa" w:w="468"/>
          </w:tcPr>
          <w:p>
            <w:pPr>
              <w:spacing w:before="20" w:after="20" w:line="254" w:lineRule="auto"/>
            </w:pPr>
            <w:r>
              <w:rPr>
                <w:rFonts w:ascii="Carlito" w:hAnsi="Carlito"/>
                <w:b w:val="0"/>
                <w:i w:val="0"/>
                <w:sz w:val="19"/>
              </w:rPr>
              <w:t>2</w:t>
            </w:r>
          </w:p>
        </w:tc>
        <w:tc>
          <w:tcPr>
            <w:tcW w:type="dxa" w:w="5616"/>
          </w:tcPr>
          <w:p>
            <w:pPr>
              <w:spacing w:before="20" w:after="20" w:line="254" w:lineRule="auto"/>
            </w:pPr>
            <w:r>
              <w:rPr>
                <w:rFonts w:ascii="Carlito" w:hAnsi="Carlito"/>
                <w:b w:val="0"/>
                <w:i w:val="0"/>
                <w:sz w:val="19"/>
              </w:rPr>
              <w:t>Is the latency distribution coherent with the hypothesized mechanism?</w:t>
            </w:r>
          </w:p>
          <w:p>
            <w:pPr>
              <w:spacing w:before="20" w:after="20" w:line="254" w:lineRule="auto"/>
            </w:pPr>
            <w:r>
              <w:rPr>
                <w:rFonts w:ascii="Carlito" w:hAnsi="Carlito"/>
                <w:b w:val="0"/>
                <w:i/>
                <w:color w:val="4A5B63"/>
                <w:sz w:val="17"/>
              </w:rPr>
              <w:t>Cross-reference T-10.</w:t>
            </w:r>
          </w:p>
        </w:tc>
        <w:tc>
          <w:tcPr>
            <w:tcW w:type="dxa" w:w="3276"/>
          </w:tcPr>
          <w:p>
            <w:pPr>
              <w:spacing w:before="20" w:after="20" w:line="254" w:lineRule="auto"/>
            </w:pPr>
          </w:p>
        </w:tc>
      </w:tr>
      <w:tr>
        <w:tc>
          <w:tcPr>
            <w:tcW w:type="dxa" w:w="468"/>
          </w:tcPr>
          <w:p>
            <w:pPr>
              <w:spacing w:before="20" w:after="20" w:line="254" w:lineRule="auto"/>
            </w:pPr>
            <w:r>
              <w:rPr>
                <w:rFonts w:ascii="Carlito" w:hAnsi="Carlito"/>
                <w:b w:val="0"/>
                <w:i w:val="0"/>
                <w:sz w:val="19"/>
              </w:rPr>
              <w:t>3</w:t>
            </w:r>
          </w:p>
        </w:tc>
        <w:tc>
          <w:tcPr>
            <w:tcW w:type="dxa" w:w="5616"/>
          </w:tcPr>
          <w:p>
            <w:pPr>
              <w:spacing w:before="20" w:after="20" w:line="254" w:lineRule="auto"/>
            </w:pPr>
            <w:r>
              <w:rPr>
                <w:rFonts w:ascii="Carlito" w:hAnsi="Carlito"/>
                <w:b w:val="0"/>
                <w:i w:val="0"/>
                <w:sz w:val="19"/>
              </w:rPr>
              <w:t>How many cases have an interpretable dechallenge, and how many an interpretable rechallenge?</w:t>
            </w:r>
          </w:p>
          <w:p>
            <w:pPr>
              <w:spacing w:before="20" w:after="20" w:line="254" w:lineRule="auto"/>
            </w:pPr>
            <w:r>
              <w:rPr>
                <w:rFonts w:ascii="Carlito" w:hAnsi="Carlito"/>
                <w:b w:val="0"/>
                <w:i/>
                <w:color w:val="4A5B63"/>
                <w:sz w:val="17"/>
              </w:rPr>
              <w:t>Count them; do not characterize them.</w:t>
            </w:r>
          </w:p>
        </w:tc>
        <w:tc>
          <w:tcPr>
            <w:tcW w:type="dxa" w:w="3276"/>
          </w:tcPr>
          <w:p>
            <w:pPr>
              <w:spacing w:before="20" w:after="20" w:line="254" w:lineRule="auto"/>
            </w:pPr>
          </w:p>
        </w:tc>
      </w:tr>
      <w:tr>
        <w:tc>
          <w:tcPr>
            <w:tcW w:type="dxa" w:w="468"/>
          </w:tcPr>
          <w:p>
            <w:pPr>
              <w:spacing w:before="20" w:after="20" w:line="254" w:lineRule="auto"/>
            </w:pPr>
            <w:r>
              <w:rPr>
                <w:rFonts w:ascii="Carlito" w:hAnsi="Carlito"/>
                <w:b w:val="0"/>
                <w:i w:val="0"/>
                <w:sz w:val="19"/>
              </w:rPr>
              <w:t>4</w:t>
            </w:r>
          </w:p>
        </w:tc>
        <w:tc>
          <w:tcPr>
            <w:tcW w:type="dxa" w:w="5616"/>
          </w:tcPr>
          <w:p>
            <w:pPr>
              <w:spacing w:before="20" w:after="20" w:line="254" w:lineRule="auto"/>
            </w:pPr>
            <w:r>
              <w:rPr>
                <w:rFonts w:ascii="Carlito" w:hAnsi="Carlito"/>
                <w:b w:val="0"/>
                <w:i w:val="0"/>
                <w:sz w:val="19"/>
              </w:rPr>
              <w:t>Which alternative causes recur across the series, and in how many cases were they actually tested?</w:t>
            </w:r>
          </w:p>
        </w:tc>
        <w:tc>
          <w:tcPr>
            <w:tcW w:type="dxa" w:w="3276"/>
          </w:tcPr>
          <w:p>
            <w:pPr>
              <w:spacing w:before="20" w:after="20" w:line="254" w:lineRule="auto"/>
            </w:pPr>
          </w:p>
        </w:tc>
      </w:tr>
      <w:tr>
        <w:tc>
          <w:tcPr>
            <w:tcW w:type="dxa" w:w="468"/>
          </w:tcPr>
          <w:p>
            <w:pPr>
              <w:spacing w:before="20" w:after="20" w:line="254" w:lineRule="auto"/>
            </w:pPr>
            <w:r>
              <w:rPr>
                <w:rFonts w:ascii="Carlito" w:hAnsi="Carlito"/>
                <w:b w:val="0"/>
                <w:i w:val="0"/>
                <w:sz w:val="19"/>
              </w:rPr>
              <w:t>5</w:t>
            </w:r>
          </w:p>
        </w:tc>
        <w:tc>
          <w:tcPr>
            <w:tcW w:type="dxa" w:w="5616"/>
          </w:tcPr>
          <w:p>
            <w:pPr>
              <w:spacing w:before="20" w:after="20" w:line="254" w:lineRule="auto"/>
            </w:pPr>
            <w:r>
              <w:rPr>
                <w:rFonts w:ascii="Carlito" w:hAnsi="Carlito"/>
                <w:b w:val="0"/>
                <w:i w:val="0"/>
                <w:sz w:val="19"/>
              </w:rPr>
              <w:t>How many cases are assessable, and how many reports did the retrieval return?</w:t>
            </w:r>
          </w:p>
          <w:p>
            <w:pPr>
              <w:spacing w:before="20" w:after="20" w:line="254" w:lineRule="auto"/>
            </w:pPr>
            <w:r>
              <w:rPr>
                <w:rFonts w:ascii="Carlito" w:hAnsi="Carlito"/>
                <w:b w:val="0"/>
                <w:i/>
                <w:color w:val="4A5B63"/>
                <w:sz w:val="17"/>
              </w:rPr>
              <w:t>These are different numbers and must never be used interchangeably.</w:t>
            </w:r>
          </w:p>
        </w:tc>
        <w:tc>
          <w:tcPr>
            <w:tcW w:type="dxa" w:w="3276"/>
          </w:tcPr>
          <w:p>
            <w:pPr>
              <w:spacing w:before="20" w:after="20" w:line="254" w:lineRule="auto"/>
            </w:pPr>
          </w:p>
        </w:tc>
      </w:tr>
      <w:tr>
        <w:tc>
          <w:tcPr>
            <w:tcW w:type="dxa" w:w="468"/>
          </w:tcPr>
          <w:p>
            <w:pPr>
              <w:spacing w:before="20" w:after="20" w:line="254" w:lineRule="auto"/>
            </w:pPr>
            <w:r>
              <w:rPr>
                <w:rFonts w:ascii="Carlito" w:hAnsi="Carlito"/>
                <w:b w:val="0"/>
                <w:i w:val="0"/>
                <w:sz w:val="19"/>
              </w:rPr>
              <w:t>6</w:t>
            </w:r>
          </w:p>
        </w:tc>
        <w:tc>
          <w:tcPr>
            <w:tcW w:type="dxa" w:w="5616"/>
          </w:tcPr>
          <w:p>
            <w:pPr>
              <w:spacing w:before="20" w:after="20" w:line="254" w:lineRule="auto"/>
            </w:pPr>
            <w:r>
              <w:rPr>
                <w:rFonts w:ascii="Carlito" w:hAnsi="Carlito"/>
                <w:b w:val="0"/>
                <w:i w:val="0"/>
                <w:sz w:val="19"/>
              </w:rPr>
              <w:t>Does any single reporter, country, or programme account for a disproportionate share?</w:t>
            </w:r>
          </w:p>
        </w:tc>
        <w:tc>
          <w:tcPr>
            <w:tcW w:type="dxa" w:w="3276"/>
          </w:tcPr>
          <w:p>
            <w:pPr>
              <w:spacing w:before="20" w:after="20" w:line="254" w:lineRule="auto"/>
            </w:pPr>
          </w:p>
        </w:tc>
      </w:tr>
    </w:tbl>
    <w:p>
      <w:pPr>
        <w:spacing w:after="40"/>
      </w:pPr>
    </w:p>
    <w:p>
      <w:pPr>
        <w:spacing w:before="40" w:after="160"/>
        <w:pBdr>
          <w:bottom w:val="single" w:sz="6" w:space="1" w:color="9FBAC0"/>
        </w:pBdr>
      </w:pPr>
    </w:p>
    <w:p>
      <w:r>
        <w:rPr>
          <w:rFonts w:ascii="Carlito" w:hAnsi="Carlito"/>
          <w:i/>
          <w:color w:val="4A5B63"/>
          <w:sz w:val="18"/>
        </w:rPr>
        <w:t>This template is educational. It does not replace applicable law, current regulatory guidance, medical judgment, or company procedures. Adapt it to your own procedures before use.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4A5B63"/>
        <w:sz w:val="16"/>
      </w:rPr>
      <w:t>T-04 Clinical Alert Review Form · Signal Management in Pharmacovigilance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Carlito" w:hAnsi="Carlito" w:cs="Carlito" w:eastAsia="Carlito"/>
      <w:color w:val="1E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keepNext/>
    </w:pPr>
    <w:rPr>
      <w:rFonts w:asciiTheme="majorHAnsi" w:eastAsiaTheme="majorEastAsia" w:hAnsiTheme="majorHAnsi" w:cstheme="majorBidi" w:ascii="Caladea" w:hAnsi="Caladea" w:cs="Caladea" w:eastAsia="Caladea"/>
      <w:b/>
      <w:bCs/>
      <w:color w:val="1F5661"/>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keepNext/>
    </w:pPr>
    <w:rPr>
      <w:rFonts w:asciiTheme="majorHAnsi" w:eastAsiaTheme="majorEastAsia" w:hAnsiTheme="majorHAnsi" w:cstheme="majorBidi" w:ascii="Caladea" w:hAnsi="Caladea" w:cs="Caladea" w:eastAsia="Caladea"/>
      <w:b/>
      <w:bCs/>
      <w:color w:val="1F5661"/>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keepNext/>
    </w:pPr>
    <w:rPr>
      <w:rFonts w:asciiTheme="majorHAnsi" w:eastAsiaTheme="majorEastAsia" w:hAnsiTheme="majorHAnsi" w:cstheme="majorBidi" w:ascii="Caladea" w:hAnsi="Caladea" w:cs="Caladea" w:eastAsia="Caladea"/>
      <w:b/>
      <w:bCs/>
      <w:color w:val="1F566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Caladea" w:hAnsi="Caladea" w:cs="Caladea" w:eastAsia="Caladea"/>
      <w:b/>
      <w:color w:val="1F566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spacing w:before="0" w:after="140"/>
    </w:pPr>
    <w:rPr>
      <w:rFonts w:ascii="Carlito" w:hAnsi="Carlito" w:cs="Carlito" w:eastAsia="Carlito"/>
      <w:i/>
      <w:color w:val="4A5B63"/>
      <w:sz w:val="19"/>
    </w:rPr>
  </w:style>
  <w:style w:type="paragraph" w:customStyle="1" w:styleId="SubtleNote">
    <w:name w:val="SubtleNote"/>
    <w:basedOn w:val="Normal"/>
    <w:pPr>
      <w:spacing w:before="0" w:after="100"/>
    </w:pPr>
    <w:rPr>
      <w:rFonts w:ascii="Carlito" w:hAnsi="Carlito" w:cs="Carlito" w:eastAsia="Carlito"/>
      <w:color w:val="4A5B63"/>
      <w:sz w:val="19"/>
    </w:rPr>
  </w:style>
  <w:style w:type="table" w:styleId="ToolkitTable">
    <w:name w:val="Toolkit Table"/>
    <w:basedOn w:val="TableNormal"/>
    <w:uiPriority w:val="59"/>
    <w:qFormat/>
    <w:rPr>
      <w:rFonts w:ascii="Carlito" w:hAnsi="Carlito" w:cs="Carlito"/>
      <w:color w:val="1E2A32"/>
      <w:sz w:val="19"/>
    </w:rPr>
    <w:tblPr>
      <w:tblStyleRowBandSize w:val="1"/>
      <w:tblBorders>
        <w:top w:val="single" w:sz="4" w:space="0" w:color="9FBAC0"/>
        <w:left w:val="single" w:sz="4" w:space="0" w:color="9FBAC0"/>
        <w:bottom w:val="single" w:sz="4" w:space="0" w:color="9FBAC0"/>
        <w:right w:val="single" w:sz="4" w:space="0" w:color="9FBAC0"/>
        <w:insideH w:val="single" w:sz="4" w:space="0" w:color="9FBAC0"/>
        <w:insideV w:val="single" w:sz="4" w:space="0" w:color="9FBAC0"/>
      </w:tblBorders>
      <w:tblCellMar>
        <w:top w:w="72" w:type="dxa"/>
        <w:left w:w="101" w:type="dxa"/>
        <w:bottom w:w="72" w:type="dxa"/>
        <w:right w:w="101" w:type="dxa"/>
      </w:tblCellMar>
    </w:tblPr>
    <w:tblStylePr w:type="firstRow">
      <w:pPr>
        <w:keepNext/>
        <w:spacing w:before="20" w:after="20"/>
      </w:pPr>
      <w:rPr>
        <w:rFonts w:ascii="Carlito" w:hAnsi="Carlito"/>
        <w:b/>
        <w:color w:val="FFFFFF"/>
      </w:rPr>
      <w:tcPr>
        <w:shd w:val="clear" w:color="auto" w:fill="1F5661"/>
      </w:tcPr>
    </w:tblStylePr>
    <w:tblStylePr w:type="band1Horz">
      <w:tcPr>
        <w:shd w:val="clear" w:color="auto" w:fill="E8EFE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