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T-05 — Validation Checklist and Memo</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Complete for every alert reviewed, including those not validated. A file containing only validated signals is evidence that the non-validated ones were never documented.</w:t>
      </w:r>
    </w:p>
    <w:p>
      <w:r>
        <w:t>The validation memo is the smallest document in signal management that must stand on its own. It is written under time pressure, often about an alert never heard from again, and read years later by someone reconstructing what was known.</w:t>
      </w:r>
    </w:p>
    <w:p>
      <w:r>
        <w:t>Three design features do most of the work. Evidence supporting and evidence opposing validation are separate fields, because a single narrative paragraph lets a reviewer drift toward whichever conclusion is already forming. Missing information is a third field, distinct from both, because the commonest error at this step is converting an absence of documentation into a finding. And the escalation field is not the same as the decision field: an alert can fail validation and still require escalation.</w:t>
      </w:r>
    </w:p>
    <w:p>
      <w:pPr>
        <w:pStyle w:val="Prompt"/>
      </w:pPr>
      <w:r>
        <w:t>Length is not what makes a validation record defensible; specificity is. Fifteen lines naming the reference document version, the number of assessable cases, the criterion that failed, and a countable trigger beat three pages of narrative naming none of them.</w:t>
      </w:r>
    </w:p>
    <w:p>
      <w:pPr>
        <w:pStyle w:val="Heading1"/>
      </w:pPr>
      <w:r>
        <w:t>Part A — Validation checklist</w:t>
      </w:r>
    </w:p>
    <w:p>
      <w:r>
        <w:t>Answer all three criteria before drafting the memo. Validation is not causality.</w:t>
      </w:r>
    </w:p>
    <w:tbl>
      <w:tblPr>
        <w:tblStyle w:val="ToolkitTable"/>
        <w:tblW w:type="auto" w:w="0"/>
        <w:jc w:val="left"/>
        <w:tblLayout w:type="fixed"/>
        <w:tblLook w:val="04A0" w:firstRow="1" w:lastRow="0" w:firstColumn="0" w:lastColumn="0" w:noHBand="0" w:noVBand="1"/>
      </w:tblPr>
      <w:tblGrid>
        <w:gridCol w:w="1685"/>
        <w:gridCol w:w="4867"/>
        <w:gridCol w:w="2808"/>
      </w:tblGrid>
      <w:tr>
        <w:trPr>
          <w:tblHeader/>
        </w:trPr>
        <w:tc>
          <w:tcPr>
            <w:tcW w:type="dxa" w:w="1685"/>
          </w:tcPr>
          <w:p>
            <w:pPr>
              <w:spacing w:before="20" w:after="20" w:line="254" w:lineRule="auto"/>
            </w:pPr>
            <w:r>
              <w:rPr>
                <w:rFonts w:ascii="Carlito" w:hAnsi="Carlito"/>
                <w:b/>
                <w:i w:val="0"/>
                <w:color w:val="FFFFFF"/>
                <w:sz w:val="19"/>
              </w:rPr>
              <w:t>Criterion</w:t>
            </w:r>
          </w:p>
        </w:tc>
        <w:tc>
          <w:tcPr>
            <w:tcW w:type="dxa" w:w="4867"/>
          </w:tcPr>
          <w:p>
            <w:pPr>
              <w:spacing w:before="20" w:after="20" w:line="254" w:lineRule="auto"/>
            </w:pPr>
            <w:r>
              <w:rPr>
                <w:rFonts w:ascii="Carlito" w:hAnsi="Carlito"/>
                <w:b/>
                <w:i w:val="0"/>
                <w:color w:val="FFFFFF"/>
                <w:sz w:val="19"/>
              </w:rPr>
              <w:t>Question to answer</w:t>
            </w:r>
          </w:p>
        </w:tc>
        <w:tc>
          <w:tcPr>
            <w:tcW w:type="dxa" w:w="2808"/>
          </w:tcPr>
          <w:p>
            <w:pPr>
              <w:spacing w:before="20" w:after="20" w:line="254" w:lineRule="auto"/>
            </w:pPr>
            <w:r>
              <w:rPr>
                <w:rFonts w:ascii="Carlito" w:hAnsi="Carlito"/>
                <w:b/>
                <w:i w:val="0"/>
                <w:color w:val="FFFFFF"/>
                <w:sz w:val="19"/>
              </w:rPr>
              <w:t>Answer and basis</w:t>
            </w:r>
          </w:p>
        </w:tc>
      </w:tr>
      <w:tr>
        <w:tc>
          <w:tcPr>
            <w:tcW w:type="dxa" w:w="1685"/>
          </w:tcPr>
          <w:p>
            <w:pPr>
              <w:spacing w:before="20" w:after="20" w:line="254" w:lineRule="auto"/>
            </w:pPr>
            <w:r>
              <w:rPr>
                <w:rFonts w:ascii="Carlito" w:hAnsi="Carlito"/>
                <w:b w:val="0"/>
                <w:i w:val="0"/>
                <w:sz w:val="19"/>
              </w:rPr>
              <w:t>Novelty</w:t>
            </w:r>
          </w:p>
        </w:tc>
        <w:tc>
          <w:tcPr>
            <w:tcW w:type="dxa" w:w="4867"/>
          </w:tcPr>
          <w:p>
            <w:pPr>
              <w:spacing w:before="20" w:after="20" w:line="254" w:lineRule="auto"/>
            </w:pPr>
            <w:r>
              <w:rPr>
                <w:rFonts w:ascii="Carlito" w:hAnsi="Carlito"/>
                <w:b w:val="0"/>
                <w:i w:val="0"/>
                <w:sz w:val="19"/>
              </w:rPr>
              <w:t>Is this information new, or a new aspect of a known association?</w:t>
            </w:r>
          </w:p>
          <w:p>
            <w:pPr>
              <w:spacing w:before="20" w:after="20" w:line="254" w:lineRule="auto"/>
            </w:pPr>
            <w:r>
              <w:rPr>
                <w:rFonts w:ascii="Carlito" w:hAnsi="Carlito"/>
                <w:b w:val="0"/>
                <w:i/>
                <w:color w:val="4A5B63"/>
                <w:sz w:val="17"/>
              </w:rPr>
              <w:t>Check against every reference document by version: company core data sheet, each regional product information, investigator's brochure and reference safety information. Name the versions checked.</w:t>
            </w:r>
          </w:p>
        </w:tc>
        <w:tc>
          <w:tcPr>
            <w:tcW w:type="dxa" w:w="2808"/>
          </w:tcPr>
          <w:p>
            <w:pPr>
              <w:spacing w:before="20" w:after="20" w:line="254" w:lineRule="auto"/>
            </w:pPr>
          </w:p>
        </w:tc>
      </w:tr>
      <w:tr>
        <w:tc>
          <w:tcPr>
            <w:tcW w:type="dxa" w:w="1685"/>
          </w:tcPr>
          <w:p>
            <w:pPr>
              <w:spacing w:before="20" w:after="20" w:line="254" w:lineRule="auto"/>
            </w:pPr>
            <w:r>
              <w:rPr>
                <w:rFonts w:ascii="Carlito" w:hAnsi="Carlito"/>
                <w:b w:val="0"/>
                <w:i w:val="0"/>
                <w:sz w:val="19"/>
              </w:rPr>
              <w:t>Clinical relevance</w:t>
            </w:r>
          </w:p>
        </w:tc>
        <w:tc>
          <w:tcPr>
            <w:tcW w:type="dxa" w:w="4867"/>
          </w:tcPr>
          <w:p>
            <w:pPr>
              <w:spacing w:before="20" w:after="20" w:line="254" w:lineRule="auto"/>
            </w:pPr>
            <w:r>
              <w:rPr>
                <w:rFonts w:ascii="Carlito" w:hAnsi="Carlito"/>
                <w:b w:val="0"/>
                <w:i w:val="0"/>
                <w:sz w:val="19"/>
              </w:rPr>
              <w:t>Would this, if true, change how the product is used, monitored or prescribed?</w:t>
            </w:r>
          </w:p>
          <w:p>
            <w:pPr>
              <w:spacing w:before="20" w:after="20" w:line="254" w:lineRule="auto"/>
            </w:pPr>
            <w:r>
              <w:rPr>
                <w:rFonts w:ascii="Carlito" w:hAnsi="Carlito"/>
                <w:b w:val="0"/>
                <w:i/>
                <w:color w:val="4A5B63"/>
                <w:sz w:val="17"/>
              </w:rPr>
              <w:t>Seriousness, severity, reversibility, preventability, and the population affected.</w:t>
            </w:r>
          </w:p>
        </w:tc>
        <w:tc>
          <w:tcPr>
            <w:tcW w:type="dxa" w:w="2808"/>
          </w:tcPr>
          <w:p>
            <w:pPr>
              <w:spacing w:before="20" w:after="20" w:line="254" w:lineRule="auto"/>
            </w:pPr>
          </w:p>
        </w:tc>
      </w:tr>
      <w:tr>
        <w:tc>
          <w:tcPr>
            <w:tcW w:type="dxa" w:w="1685"/>
          </w:tcPr>
          <w:p>
            <w:pPr>
              <w:spacing w:before="20" w:after="20" w:line="254" w:lineRule="auto"/>
            </w:pPr>
            <w:r>
              <w:rPr>
                <w:rFonts w:ascii="Carlito" w:hAnsi="Carlito"/>
                <w:b w:val="0"/>
                <w:i w:val="0"/>
                <w:sz w:val="19"/>
              </w:rPr>
              <w:t>Evidence sufficiency</w:t>
            </w:r>
          </w:p>
        </w:tc>
        <w:tc>
          <w:tcPr>
            <w:tcW w:type="dxa" w:w="4867"/>
          </w:tcPr>
          <w:p>
            <w:pPr>
              <w:spacing w:before="20" w:after="20" w:line="254" w:lineRule="auto"/>
            </w:pPr>
            <w:r>
              <w:rPr>
                <w:rFonts w:ascii="Carlito" w:hAnsi="Carlito"/>
                <w:b w:val="0"/>
                <w:i w:val="0"/>
                <w:sz w:val="19"/>
              </w:rPr>
              <w:t>Is there enough to justify verificatory action — not enough to conclude?</w:t>
            </w:r>
          </w:p>
          <w:p>
            <w:pPr>
              <w:spacing w:before="20" w:after="20" w:line="254" w:lineRule="auto"/>
            </w:pPr>
            <w:r>
              <w:rPr>
                <w:rFonts w:ascii="Carlito" w:hAnsi="Carlito"/>
                <w:b w:val="0"/>
                <w:i/>
                <w:color w:val="4A5B63"/>
                <w:sz w:val="17"/>
              </w:rPr>
              <w:t>Assessable cases with criteria; temporal pattern; dechallenge; rechallenge; class, mechanism, external evidence. Count them.</w:t>
            </w:r>
          </w:p>
        </w:tc>
        <w:tc>
          <w:tcPr>
            <w:tcW w:type="dxa" w:w="2808"/>
          </w:tcPr>
          <w:p>
            <w:pPr>
              <w:spacing w:before="20" w:after="20" w:line="254" w:lineRule="auto"/>
            </w:pPr>
          </w:p>
        </w:tc>
      </w:tr>
      <w:tr>
        <w:tc>
          <w:tcPr>
            <w:tcW w:type="dxa" w:w="1685"/>
          </w:tcPr>
          <w:p>
            <w:pPr>
              <w:spacing w:before="20" w:after="20" w:line="254" w:lineRule="auto"/>
            </w:pPr>
            <w:r>
              <w:rPr>
                <w:rFonts w:ascii="Carlito" w:hAnsi="Carlito"/>
                <w:b w:val="0"/>
                <w:i w:val="0"/>
                <w:sz w:val="19"/>
              </w:rPr>
              <w:t>Artifact check</w:t>
            </w:r>
          </w:p>
        </w:tc>
        <w:tc>
          <w:tcPr>
            <w:tcW w:type="dxa" w:w="4867"/>
          </w:tcPr>
          <w:p>
            <w:pPr>
              <w:spacing w:before="20" w:after="20" w:line="254" w:lineRule="auto"/>
            </w:pPr>
            <w:r>
              <w:rPr>
                <w:rFonts w:ascii="Carlito" w:hAnsi="Carlito"/>
                <w:b w:val="0"/>
                <w:i w:val="0"/>
                <w:sz w:val="19"/>
              </w:rPr>
              <w:t>Could duplication, stimulated reporting, miscoding, or a data-handling error explain the alert?</w:t>
            </w:r>
          </w:p>
          <w:p>
            <w:pPr>
              <w:spacing w:before="20" w:after="20" w:line="254" w:lineRule="auto"/>
            </w:pPr>
            <w:r>
              <w:rPr>
                <w:rFonts w:ascii="Carlito" w:hAnsi="Carlito"/>
                <w:b w:val="0"/>
                <w:i/>
                <w:color w:val="4A5B63"/>
                <w:sz w:val="17"/>
              </w:rPr>
              <w:t>Name what was checked and what was found.</w:t>
            </w:r>
          </w:p>
        </w:tc>
        <w:tc>
          <w:tcPr>
            <w:tcW w:type="dxa" w:w="2808"/>
          </w:tcPr>
          <w:p>
            <w:pPr>
              <w:spacing w:before="20" w:after="20" w:line="254" w:lineRule="auto"/>
            </w:pPr>
          </w:p>
        </w:tc>
      </w:tr>
      <w:tr>
        <w:tc>
          <w:tcPr>
            <w:tcW w:type="dxa" w:w="1685"/>
          </w:tcPr>
          <w:p>
            <w:pPr>
              <w:spacing w:before="20" w:after="20" w:line="254" w:lineRule="auto"/>
            </w:pPr>
            <w:r>
              <w:rPr>
                <w:rFonts w:ascii="Carlito" w:hAnsi="Carlito"/>
                <w:b w:val="0"/>
                <w:i w:val="0"/>
                <w:sz w:val="19"/>
              </w:rPr>
              <w:t>Prior decision check</w:t>
            </w:r>
          </w:p>
        </w:tc>
        <w:tc>
          <w:tcPr>
            <w:tcW w:type="dxa" w:w="4867"/>
          </w:tcPr>
          <w:p>
            <w:pPr>
              <w:spacing w:before="20" w:after="20" w:line="254" w:lineRule="auto"/>
            </w:pPr>
            <w:r>
              <w:rPr>
                <w:rFonts w:ascii="Carlito" w:hAnsi="Carlito"/>
                <w:b w:val="0"/>
                <w:i w:val="0"/>
                <w:sz w:val="19"/>
              </w:rPr>
              <w:t>Has this product–event pair been considered before, and with what outcome?</w:t>
            </w:r>
          </w:p>
          <w:p>
            <w:pPr>
              <w:spacing w:before="20" w:after="20" w:line="254" w:lineRule="auto"/>
            </w:pPr>
            <w:r>
              <w:rPr>
                <w:rFonts w:ascii="Carlito" w:hAnsi="Carlito"/>
                <w:b w:val="0"/>
                <w:i/>
                <w:color w:val="4A5B63"/>
                <w:sz w:val="17"/>
              </w:rPr>
              <w:t>If it was closed, quote the reopening triggers as written at closure.</w:t>
            </w:r>
          </w:p>
        </w:tc>
        <w:tc>
          <w:tcPr>
            <w:tcW w:type="dxa" w:w="2808"/>
          </w:tcPr>
          <w:p>
            <w:pPr>
              <w:spacing w:before="20" w:after="20" w:line="254" w:lineRule="auto"/>
            </w:pPr>
          </w:p>
        </w:tc>
      </w:tr>
    </w:tbl>
    <w:p>
      <w:pPr>
        <w:spacing w:after="40"/>
      </w:pPr>
    </w:p>
    <w:p>
      <w:pPr>
        <w:pStyle w:val="Heading1"/>
      </w:pPr>
      <w:r>
        <w:t>Part B — Validation memo, blank template</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Product and event</w:t>
            </w:r>
          </w:p>
        </w:tc>
        <w:tc>
          <w:tcPr>
            <w:tcW w:type="dxa" w:w="3744"/>
          </w:tcPr>
          <w:p>
            <w:pPr>
              <w:spacing w:before="20" w:after="20" w:line="254" w:lineRule="auto"/>
            </w:pPr>
            <w:r>
              <w:rPr>
                <w:rFonts w:ascii="Carlito" w:hAnsi="Carlito"/>
                <w:b w:val="0"/>
                <w:i w:val="0"/>
                <w:sz w:val="19"/>
              </w:rPr>
              <w:t>Active moiety, formulation, route; event as a clinical concept plus MedDRA terms and version</w:t>
            </w:r>
          </w:p>
          <w:p>
            <w:pPr>
              <w:spacing w:before="20" w:after="20" w:line="254" w:lineRule="auto"/>
            </w:pPr>
            <w:r>
              <w:rPr>
                <w:rFonts w:ascii="Carlito" w:hAnsi="Carlito"/>
                <w:b w:val="0"/>
                <w:i/>
                <w:color w:val="4A5B63"/>
                <w:sz w:val="17"/>
              </w:rPr>
              <w:t>Write the event as a clinical concept first. A preferred term alone is a coding decision, not a medical question.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Alert source and date</w:t>
            </w:r>
          </w:p>
        </w:tc>
        <w:tc>
          <w:tcPr>
            <w:tcW w:type="dxa" w:w="3744"/>
          </w:tcPr>
          <w:p>
            <w:pPr>
              <w:spacing w:before="20" w:after="20" w:line="254" w:lineRule="auto"/>
            </w:pPr>
            <w:r>
              <w:rPr>
                <w:rFonts w:ascii="Carlito" w:hAnsi="Carlito"/>
                <w:b w:val="0"/>
                <w:i w:val="0"/>
                <w:sz w:val="19"/>
              </w:rPr>
              <w:t>Detection method, data source, screening cycle, date the alert was raised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Data cut</w:t>
            </w:r>
          </w:p>
        </w:tc>
        <w:tc>
          <w:tcPr>
            <w:tcW w:type="dxa" w:w="3744"/>
          </w:tcPr>
          <w:p>
            <w:pPr>
              <w:spacing w:before="20" w:after="20" w:line="254" w:lineRule="auto"/>
            </w:pPr>
            <w:r>
              <w:rPr>
                <w:rFonts w:ascii="Carlito" w:hAnsi="Carlito"/>
                <w:b w:val="0"/>
                <w:i w:val="0"/>
                <w:sz w:val="19"/>
              </w:rPr>
              <w:t>Frozen date of the dataset reviewed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Retrieval</w:t>
            </w:r>
          </w:p>
        </w:tc>
        <w:tc>
          <w:tcPr>
            <w:tcW w:type="dxa" w:w="3744"/>
          </w:tcPr>
          <w:p>
            <w:pPr>
              <w:spacing w:before="20" w:after="20" w:line="254" w:lineRule="auto"/>
            </w:pPr>
            <w:r>
              <w:rPr>
                <w:rFonts w:ascii="Carlito" w:hAnsi="Carlito"/>
                <w:b w:val="0"/>
                <w:i w:val="0"/>
                <w:sz w:val="19"/>
              </w:rPr>
              <w:t>Search terms, hierarchy level, SMQ and scope if used, reports retrieved, unique cases, assessable cases</w:t>
            </w:r>
          </w:p>
          <w:p>
            <w:pPr>
              <w:spacing w:before="20" w:after="20" w:line="254" w:lineRule="auto"/>
            </w:pPr>
            <w:r>
              <w:rPr>
                <w:rFonts w:ascii="Carlito" w:hAnsi="Carlito"/>
                <w:b w:val="0"/>
                <w:i/>
                <w:color w:val="4A5B63"/>
                <w:sz w:val="17"/>
              </w:rPr>
              <w:t>Three different numbers. Give all three; never use one in place of another.</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Reference information checked</w:t>
            </w:r>
          </w:p>
        </w:tc>
        <w:tc>
          <w:tcPr>
            <w:tcW w:type="dxa" w:w="3744"/>
          </w:tcPr>
          <w:p>
            <w:pPr>
              <w:spacing w:before="20" w:after="20" w:line="254" w:lineRule="auto"/>
            </w:pPr>
            <w:r>
              <w:rPr>
                <w:rFonts w:ascii="Carlito" w:hAnsi="Carlito"/>
                <w:b w:val="0"/>
                <w:i w:val="0"/>
                <w:sz w:val="19"/>
              </w:rPr>
              <w:t>Company core data sheet version and date; each regional product information version; investigator's brochure and reference safety information version</w:t>
            </w:r>
          </w:p>
          <w:p>
            <w:pPr>
              <w:spacing w:before="20" w:after="20" w:line="254" w:lineRule="auto"/>
            </w:pPr>
            <w:r>
              <w:rPr>
                <w:rFonts w:ascii="Carlito" w:hAnsi="Carlito"/>
                <w:b w:val="0"/>
                <w:i/>
                <w:color w:val="4A5B63"/>
                <w:sz w:val="17"/>
              </w:rPr>
              <w:t>Version numbers, not document names. 'The label was checked' records nothing.</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Evidence supporting validation</w:t>
            </w:r>
          </w:p>
        </w:tc>
        <w:tc>
          <w:tcPr>
            <w:tcW w:type="dxa" w:w="3744"/>
          </w:tcPr>
          <w:p>
            <w:pPr>
              <w:spacing w:before="20" w:after="20" w:line="254" w:lineRule="auto"/>
            </w:pPr>
            <w:r>
              <w:rPr>
                <w:rFonts w:ascii="Carlito" w:hAnsi="Carlito"/>
                <w:b w:val="0"/>
                <w:i w:val="0"/>
                <w:sz w:val="19"/>
              </w:rPr>
              <w:t>Novelty aspect claimed; assessable case detail; temporal pattern; dechallenge; rechallenge; class, mechanism, external evidence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Evidence against validation</w:t>
            </w:r>
          </w:p>
        </w:tc>
        <w:tc>
          <w:tcPr>
            <w:tcW w:type="dxa" w:w="3744"/>
          </w:tcPr>
          <w:p>
            <w:pPr>
              <w:spacing w:before="20" w:after="20" w:line="254" w:lineRule="auto"/>
            </w:pPr>
            <w:r>
              <w:rPr>
                <w:rFonts w:ascii="Carlito" w:hAnsi="Carlito"/>
                <w:b w:val="0"/>
                <w:i w:val="0"/>
                <w:sz w:val="19"/>
              </w:rPr>
              <w:t>Alternative causes case by case; artifact or duplicate findings; trial or epidemiologic data inconsistent with the hypothesis</w:t>
            </w:r>
          </w:p>
          <w:p>
            <w:pPr>
              <w:spacing w:before="20" w:after="20" w:line="254" w:lineRule="auto"/>
            </w:pPr>
            <w:r>
              <w:rPr>
                <w:rFonts w:ascii="Carlito" w:hAnsi="Carlito"/>
                <w:b w:val="0"/>
                <w:i/>
                <w:color w:val="4A5B63"/>
                <w:sz w:val="17"/>
              </w:rPr>
              <w:t>Adjudicate each alternative individually. 'Confounding cannot be excluded' fits every assessment ever written and distinguishes none of them.</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Missing information</w:t>
            </w:r>
          </w:p>
        </w:tc>
        <w:tc>
          <w:tcPr>
            <w:tcW w:type="dxa" w:w="3744"/>
          </w:tcPr>
          <w:p>
            <w:pPr>
              <w:spacing w:before="20" w:after="20" w:line="254" w:lineRule="auto"/>
            </w:pPr>
            <w:r>
              <w:rPr>
                <w:rFonts w:ascii="Carlito" w:hAnsi="Carlito"/>
                <w:b w:val="0"/>
                <w:i w:val="0"/>
                <w:sz w:val="19"/>
              </w:rPr>
              <w:t>Specific data elements absent; follow-up issued to whom, when, due date</w:t>
            </w:r>
          </w:p>
          <w:p>
            <w:pPr>
              <w:spacing w:before="20" w:after="20" w:line="254" w:lineRule="auto"/>
            </w:pPr>
            <w:r>
              <w:rPr>
                <w:rFonts w:ascii="Carlito" w:hAnsi="Carlito"/>
                <w:b w:val="0"/>
                <w:i/>
                <w:color w:val="4A5B63"/>
                <w:sz w:val="17"/>
              </w:rPr>
              <w:t>Name the elements. An absence of documentation is not a finding of absence.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Decision</w:t>
            </w:r>
          </w:p>
        </w:tc>
        <w:tc>
          <w:tcPr>
            <w:tcW w:type="dxa" w:w="3744"/>
          </w:tcPr>
          <w:p>
            <w:pPr>
              <w:spacing w:before="20" w:after="20" w:line="254" w:lineRule="auto"/>
            </w:pPr>
            <w:r>
              <w:rPr>
                <w:rFonts w:ascii="Carlito" w:hAnsi="Carlito"/>
                <w:b w:val="0"/>
                <w:i w:val="0"/>
                <w:sz w:val="19"/>
              </w:rPr>
              <w:t>Validated / not validated / not validated pending follow-up / artifact — with the criterion that determined it</w:t>
            </w:r>
          </w:p>
          <w:p>
            <w:pPr>
              <w:spacing w:before="20" w:after="20" w:line="254" w:lineRule="auto"/>
            </w:pPr>
            <w:r>
              <w:rPr>
                <w:rFonts w:ascii="Carlito" w:hAnsi="Carlito"/>
                <w:b w:val="0"/>
                <w:i/>
                <w:color w:val="4A5B63"/>
                <w:sz w:val="17"/>
              </w:rPr>
              <w:t>State which of the three criteria decided it. Add the sentence that non-validation is not a conclusion that the product does not cause the event.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Monitoring arrangement</w:t>
            </w:r>
          </w:p>
        </w:tc>
        <w:tc>
          <w:tcPr>
            <w:tcW w:type="dxa" w:w="3744"/>
          </w:tcPr>
          <w:p>
            <w:pPr>
              <w:spacing w:before="20" w:after="20" w:line="254" w:lineRule="auto"/>
            </w:pPr>
            <w:r>
              <w:rPr>
                <w:rFonts w:ascii="Carlito" w:hAnsi="Carlito"/>
                <w:b w:val="0"/>
                <w:i w:val="0"/>
                <w:sz w:val="19"/>
              </w:rPr>
              <w:t>Continues under routine screening at a stated frequency, or an enhanced arrangement described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Reopening triggers</w:t>
            </w:r>
          </w:p>
        </w:tc>
        <w:tc>
          <w:tcPr>
            <w:tcW w:type="dxa" w:w="3744"/>
          </w:tcPr>
          <w:p>
            <w:pPr>
              <w:spacing w:before="20" w:after="20" w:line="254" w:lineRule="auto"/>
            </w:pPr>
            <w:r>
              <w:rPr>
                <w:rFonts w:ascii="Carlito" w:hAnsi="Carlito"/>
                <w:b w:val="0"/>
                <w:i w:val="0"/>
                <w:sz w:val="19"/>
              </w:rPr>
              <w:t>Objective, countable conditions any reviewer could apply, and the time within which a met trigger returns the question to validation</w:t>
            </w:r>
          </w:p>
          <w:p>
            <w:pPr>
              <w:spacing w:before="20" w:after="20" w:line="254" w:lineRule="auto"/>
            </w:pPr>
            <w:r>
              <w:rPr>
                <w:rFonts w:ascii="Carlito" w:hAnsi="Carlito"/>
                <w:b w:val="0"/>
                <w:i/>
                <w:color w:val="4A5B63"/>
                <w:sz w:val="17"/>
              </w:rPr>
              <w:t>Example: three new reports meeting the case definition with compatible latency; any positive rechallenge; a request from any competent authority; a controlled study reporting increased risk.</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Escalation requirement</w:t>
            </w:r>
          </w:p>
        </w:tc>
        <w:tc>
          <w:tcPr>
            <w:tcW w:type="dxa" w:w="3744"/>
          </w:tcPr>
          <w:p>
            <w:pPr>
              <w:spacing w:before="20" w:after="20" w:line="254" w:lineRule="auto"/>
            </w:pPr>
            <w:r>
              <w:rPr>
                <w:rFonts w:ascii="Carlito" w:hAnsi="Carlito"/>
                <w:b w:val="0"/>
                <w:i w:val="0"/>
                <w:sz w:val="19"/>
              </w:rPr>
              <w:t>Yes or no, with basis; recipients and time if yes. Independent of the decision field</w:t>
            </w:r>
          </w:p>
          <w:p>
            <w:pPr>
              <w:spacing w:before="20" w:after="20" w:line="254" w:lineRule="auto"/>
            </w:pPr>
            <w:r>
              <w:rPr>
                <w:rFonts w:ascii="Carlito" w:hAnsi="Carlito"/>
                <w:b w:val="0"/>
                <w:i/>
                <w:color w:val="4A5B63"/>
                <w:sz w:val="17"/>
              </w:rPr>
              <w:t>Assess against the emerging safety issue criteria and record the result even when it is 'not met'. The emerging safety issue notification runs to 3 working days and is unaffected by the validation outcome.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Reviewer and date</w:t>
            </w:r>
          </w:p>
        </w:tc>
        <w:tc>
          <w:tcPr>
            <w:tcW w:type="dxa" w:w="3744"/>
          </w:tcPr>
          <w:p>
            <w:pPr>
              <w:spacing w:before="20" w:after="20" w:line="254" w:lineRule="auto"/>
            </w:pPr>
            <w:r>
              <w:rPr>
                <w:rFonts w:ascii="Carlito" w:hAnsi="Carlito"/>
                <w:b w:val="0"/>
                <w:i w:val="0"/>
                <w:sz w:val="19"/>
              </w:rPr>
              <w:t>Name, role, qualification to make a medical judgment, date; second reviewer where procedure requires</w:t>
            </w:r>
          </w:p>
        </w:tc>
        <w:tc>
          <w:tcPr>
            <w:tcW w:type="dxa" w:w="3557"/>
          </w:tcPr>
          <w:p>
            <w:pPr>
              <w:spacing w:before="20" w:after="20" w:line="254" w:lineRule="auto"/>
            </w:pPr>
          </w:p>
        </w:tc>
      </w:tr>
    </w:tbl>
    <w:p>
      <w:pPr>
        <w:spacing w:after="40"/>
      </w:pPr>
    </w:p>
    <w:p>
      <w:pPr>
        <w:pStyle w:val="Heading1"/>
      </w:pPr>
      <w:r>
        <w:t>Part C — Notification obligations at validation</w:t>
      </w:r>
    </w:p>
    <w:p>
      <w:r>
        <w:t>Complete this block for every validation decision, including non-validation.</w:t>
      </w:r>
    </w:p>
    <w:tbl>
      <w:tblPr>
        <w:tblStyle w:val="ToolkitTable"/>
        <w:tblW w:type="auto" w:w="0"/>
        <w:jc w:val="left"/>
        <w:tblLayout w:type="fixed"/>
        <w:tblLook w:val="04A0" w:firstRow="1" w:lastRow="0" w:firstColumn="0" w:lastColumn="0" w:noHBand="0" w:noVBand="1"/>
      </w:tblPr>
      <w:tblGrid>
        <w:gridCol w:w="2246"/>
        <w:gridCol w:w="936"/>
        <w:gridCol w:w="4493"/>
        <w:gridCol w:w="1685"/>
      </w:tblGrid>
      <w:tr>
        <w:trPr>
          <w:tblHeader/>
        </w:trPr>
        <w:tc>
          <w:tcPr>
            <w:tcW w:type="dxa" w:w="2246"/>
          </w:tcPr>
          <w:p>
            <w:pPr>
              <w:spacing w:before="20" w:after="20" w:line="254" w:lineRule="auto"/>
            </w:pPr>
            <w:r>
              <w:rPr>
                <w:rFonts w:ascii="Carlito" w:hAnsi="Carlito"/>
                <w:b/>
                <w:i w:val="0"/>
                <w:color w:val="FFFFFF"/>
                <w:sz w:val="19"/>
              </w:rPr>
              <w:t>Obligation</w:t>
            </w:r>
          </w:p>
        </w:tc>
        <w:tc>
          <w:tcPr>
            <w:tcW w:type="dxa" w:w="936"/>
          </w:tcPr>
          <w:p>
            <w:pPr>
              <w:spacing w:before="20" w:after="20" w:line="254" w:lineRule="auto"/>
            </w:pPr>
            <w:r>
              <w:rPr>
                <w:rFonts w:ascii="Carlito" w:hAnsi="Carlito"/>
                <w:b/>
                <w:i w:val="0"/>
                <w:color w:val="FFFFFF"/>
                <w:sz w:val="19"/>
              </w:rPr>
              <w:t>Applies?</w:t>
            </w:r>
          </w:p>
        </w:tc>
        <w:tc>
          <w:tcPr>
            <w:tcW w:type="dxa" w:w="4493"/>
          </w:tcPr>
          <w:p>
            <w:pPr>
              <w:spacing w:before="20" w:after="20" w:line="254" w:lineRule="auto"/>
            </w:pPr>
            <w:r>
              <w:rPr>
                <w:rFonts w:ascii="Carlito" w:hAnsi="Carlito"/>
                <w:b/>
                <w:i w:val="0"/>
                <w:color w:val="FFFFFF"/>
                <w:sz w:val="19"/>
              </w:rPr>
              <w:t>Basis</w:t>
            </w:r>
          </w:p>
        </w:tc>
        <w:tc>
          <w:tcPr>
            <w:tcW w:type="dxa" w:w="1685"/>
          </w:tcPr>
          <w:p>
            <w:pPr>
              <w:spacing w:before="20" w:after="20" w:line="254" w:lineRule="auto"/>
            </w:pPr>
            <w:r>
              <w:rPr>
                <w:rFonts w:ascii="Carlito" w:hAnsi="Carlito"/>
                <w:b/>
                <w:i w:val="0"/>
                <w:color w:val="FFFFFF"/>
                <w:sz w:val="19"/>
              </w:rPr>
              <w:t>Owner and date discharged</w:t>
            </w:r>
          </w:p>
        </w:tc>
      </w:tr>
      <w:tr>
        <w:tc>
          <w:tcPr>
            <w:tcW w:type="dxa" w:w="2246"/>
          </w:tcPr>
          <w:p>
            <w:pPr>
              <w:spacing w:before="20" w:after="20" w:line="254" w:lineRule="auto"/>
            </w:pPr>
            <w:r>
              <w:rPr>
                <w:rFonts w:ascii="Carlito" w:hAnsi="Carlito"/>
                <w:b w:val="0"/>
                <w:i w:val="0"/>
                <w:sz w:val="19"/>
              </w:rPr>
              <w:t>Emerging safety issue notification (EU)</w:t>
            </w:r>
          </w:p>
        </w:tc>
        <w:tc>
          <w:tcPr>
            <w:tcW w:type="dxa" w:w="936"/>
          </w:tcPr>
          <w:p>
            <w:pPr>
              <w:spacing w:before="20" w:after="20" w:line="254" w:lineRule="auto"/>
            </w:pPr>
          </w:p>
        </w:tc>
        <w:tc>
          <w:tcPr>
            <w:tcW w:type="dxa" w:w="4493"/>
          </w:tcPr>
          <w:p>
            <w:pPr>
              <w:spacing w:before="20" w:after="20" w:line="254" w:lineRule="auto"/>
            </w:pPr>
            <w:r>
              <w:rPr>
                <w:rFonts w:ascii="Carlito" w:hAnsi="Carlito"/>
                <w:b w:val="0"/>
                <w:i w:val="0"/>
                <w:sz w:val="19"/>
              </w:rPr>
              <w:t>In writing to the national competent authorities of Member States where the product is authorised and to EMA, as soon as possible and no later than 3 working days after the criteria are established to be met (GVP Module IX Rev 1, IX.C.2). This obligation survives unchanged.</w:t>
            </w:r>
          </w:p>
        </w:tc>
        <w:tc>
          <w:tcPr>
            <w:tcW w:type="dxa" w:w="1685"/>
          </w:tcPr>
          <w:p>
            <w:pPr>
              <w:spacing w:before="20" w:after="20" w:line="254" w:lineRule="auto"/>
            </w:pPr>
          </w:p>
        </w:tc>
      </w:tr>
      <w:tr>
        <w:tc>
          <w:tcPr>
            <w:tcW w:type="dxa" w:w="2246"/>
          </w:tcPr>
          <w:p>
            <w:pPr>
              <w:spacing w:before="20" w:after="20" w:line="254" w:lineRule="auto"/>
            </w:pPr>
            <w:r>
              <w:rPr>
                <w:rFonts w:ascii="Carlito" w:hAnsi="Carlito"/>
                <w:b w:val="0"/>
                <w:i w:val="0"/>
                <w:sz w:val="19"/>
              </w:rPr>
              <w:t>Validated-signal notification to EMA and NCAs</w:t>
            </w:r>
          </w:p>
        </w:tc>
        <w:tc>
          <w:tcPr>
            <w:tcW w:type="dxa" w:w="936"/>
          </w:tcPr>
          <w:p>
            <w:pPr>
              <w:spacing w:before="20" w:after="20" w:line="254" w:lineRule="auto"/>
            </w:pPr>
            <w:r>
              <w:rPr>
                <w:rFonts w:ascii="Carlito" w:hAnsi="Carlito"/>
                <w:b w:val="0"/>
                <w:i w:val="0"/>
                <w:sz w:val="19"/>
              </w:rPr>
              <w:t>Not applicable</w:t>
            </w:r>
          </w:p>
        </w:tc>
        <w:tc>
          <w:tcPr>
            <w:tcW w:type="dxa" w:w="4493"/>
          </w:tcPr>
          <w:p>
            <w:pPr>
              <w:spacing w:before="20" w:after="20" w:line="254" w:lineRule="auto"/>
            </w:pPr>
            <w:r>
              <w:rPr>
                <w:rFonts w:ascii="Carlito" w:hAnsi="Carlito"/>
                <w:b w:val="0"/>
                <w:i w:val="0"/>
                <w:sz w:val="19"/>
              </w:rPr>
              <w:t>Article 21(2) of CIR (EU) No 520/2012 was deleted by Commission Implementing Regulation (EU) 2025/1466, in force 12 August 2025. MAHs no longer submit validated signals to EMA and the national competent authorities via the standalone signal notification form; a validated signal is handled under the holder's own signal management process. Do not reinstate this row in a local procedure.</w:t>
            </w:r>
          </w:p>
        </w:tc>
        <w:tc>
          <w:tcPr>
            <w:tcW w:type="dxa" w:w="1685"/>
          </w:tcPr>
          <w:p>
            <w:pPr>
              <w:spacing w:before="20" w:after="20" w:line="254" w:lineRule="auto"/>
            </w:pPr>
            <w:r>
              <w:rPr>
                <w:rFonts w:ascii="Carlito" w:hAnsi="Carlito"/>
                <w:b w:val="0"/>
                <w:i w:val="0"/>
                <w:sz w:val="19"/>
              </w:rPr>
              <w:t>—</w:t>
            </w:r>
          </w:p>
        </w:tc>
      </w:tr>
      <w:tr>
        <w:tc>
          <w:tcPr>
            <w:tcW w:type="dxa" w:w="2246"/>
          </w:tcPr>
          <w:p>
            <w:pPr>
              <w:spacing w:before="20" w:after="20" w:line="254" w:lineRule="auto"/>
            </w:pPr>
            <w:r>
              <w:rPr>
                <w:rFonts w:ascii="Carlito" w:hAnsi="Carlito"/>
                <w:b w:val="0"/>
                <w:i w:val="0"/>
                <w:sz w:val="19"/>
              </w:rPr>
              <w:t>Expedited ICSR reporting</w:t>
            </w:r>
          </w:p>
        </w:tc>
        <w:tc>
          <w:tcPr>
            <w:tcW w:type="dxa" w:w="936"/>
          </w:tcPr>
          <w:p>
            <w:pPr>
              <w:spacing w:before="20" w:after="20" w:line="254" w:lineRule="auto"/>
            </w:pPr>
          </w:p>
        </w:tc>
        <w:tc>
          <w:tcPr>
            <w:tcW w:type="dxa" w:w="4493"/>
          </w:tcPr>
          <w:p>
            <w:pPr>
              <w:spacing w:before="20" w:after="20" w:line="254" w:lineRule="auto"/>
            </w:pPr>
            <w:r>
              <w:rPr>
                <w:rFonts w:ascii="Carlito" w:hAnsi="Carlito"/>
                <w:b w:val="0"/>
                <w:i w:val="0"/>
                <w:sz w:val="19"/>
              </w:rPr>
              <w:t>Serious and unexpected, as soon as possible but no later than 15 calendar days from initial receipt (21 CFR 314.80(c)(1)(i) and 600.80(c)(1)(i); ICH E2D(R1) day zero).</w:t>
            </w:r>
          </w:p>
        </w:tc>
        <w:tc>
          <w:tcPr>
            <w:tcW w:type="dxa" w:w="1685"/>
          </w:tcPr>
          <w:p>
            <w:pPr>
              <w:spacing w:before="20" w:after="20" w:line="254" w:lineRule="auto"/>
            </w:pPr>
          </w:p>
        </w:tc>
      </w:tr>
      <w:tr>
        <w:tc>
          <w:tcPr>
            <w:tcW w:type="dxa" w:w="2246"/>
          </w:tcPr>
          <w:p>
            <w:pPr>
              <w:spacing w:before="20" w:after="20" w:line="254" w:lineRule="auto"/>
            </w:pPr>
            <w:r>
              <w:rPr>
                <w:rFonts w:ascii="Carlito" w:hAnsi="Carlito"/>
                <w:b w:val="0"/>
                <w:i w:val="0"/>
                <w:sz w:val="19"/>
              </w:rPr>
              <w:t>Other regional obligations</w:t>
            </w:r>
          </w:p>
        </w:tc>
        <w:tc>
          <w:tcPr>
            <w:tcW w:type="dxa" w:w="936"/>
          </w:tcPr>
          <w:p>
            <w:pPr>
              <w:spacing w:before="20" w:after="20" w:line="254" w:lineRule="auto"/>
            </w:pPr>
          </w:p>
        </w:tc>
        <w:tc>
          <w:tcPr>
            <w:tcW w:type="dxa" w:w="4493"/>
          </w:tcPr>
          <w:p>
            <w:pPr>
              <w:spacing w:before="20" w:after="20" w:line="254" w:lineRule="auto"/>
            </w:pPr>
            <w:r>
              <w:rPr>
                <w:rFonts w:ascii="Carlito" w:hAnsi="Carlito"/>
                <w:b w:val="0"/>
                <w:i w:val="0"/>
                <w:sz w:val="19"/>
              </w:rPr>
              <w:t>List each jurisdiction, the obligation, and its own deadline.</w:t>
            </w:r>
          </w:p>
        </w:tc>
        <w:tc>
          <w:tcPr>
            <w:tcW w:type="dxa" w:w="1685"/>
          </w:tcPr>
          <w:p>
            <w:pPr>
              <w:spacing w:before="20" w:after="20" w:line="254" w:lineRule="auto"/>
            </w:pPr>
          </w:p>
        </w:tc>
      </w:tr>
      <w:tr>
        <w:tc>
          <w:tcPr>
            <w:tcW w:type="dxa" w:w="2246"/>
          </w:tcPr>
          <w:p>
            <w:pPr>
              <w:spacing w:before="20" w:after="20" w:line="254" w:lineRule="auto"/>
            </w:pPr>
            <w:r>
              <w:rPr>
                <w:rFonts w:ascii="Carlito" w:hAnsi="Carlito"/>
                <w:b w:val="0"/>
                <w:i w:val="0"/>
                <w:sz w:val="19"/>
              </w:rPr>
              <w:t>Partner notification under SDEA</w:t>
            </w:r>
          </w:p>
        </w:tc>
        <w:tc>
          <w:tcPr>
            <w:tcW w:type="dxa" w:w="936"/>
          </w:tcPr>
          <w:p>
            <w:pPr>
              <w:spacing w:before="20" w:after="20" w:line="254" w:lineRule="auto"/>
            </w:pPr>
          </w:p>
        </w:tc>
        <w:tc>
          <w:tcPr>
            <w:tcW w:type="dxa" w:w="4493"/>
          </w:tcPr>
          <w:p>
            <w:pPr>
              <w:spacing w:before="20" w:after="20" w:line="254" w:lineRule="auto"/>
            </w:pPr>
            <w:r>
              <w:rPr>
                <w:rFonts w:ascii="Carlito" w:hAnsi="Carlito"/>
                <w:b w:val="0"/>
                <w:i w:val="0"/>
                <w:sz w:val="19"/>
              </w:rPr>
              <w:t>The agreement clause and its timeline.</w:t>
            </w:r>
          </w:p>
        </w:tc>
        <w:tc>
          <w:tcPr>
            <w:tcW w:type="dxa" w:w="1685"/>
          </w:tcPr>
          <w:p>
            <w:pPr>
              <w:spacing w:before="20" w:after="20" w:line="254" w:lineRule="auto"/>
            </w:pPr>
          </w:p>
        </w:tc>
      </w:tr>
    </w:tbl>
    <w:p>
      <w:pPr>
        <w:spacing w:after="40"/>
      </w:pPr>
    </w:p>
    <w:p>
      <w:pPr>
        <w:pStyle w:val="Heading1"/>
      </w:pPr>
      <w:r>
        <w:t>Part D — Completed specimen (Pramtelide, illustrative)</w:t>
      </w:r>
    </w:p>
    <w:p>
      <w:pPr>
        <w:pStyle w:val="SubtleNote"/>
      </w:pPr>
      <w:r>
        <w:t>Pramtelide is a fictional product used throughout this book. All figures are illustrative.</w:t>
      </w:r>
    </w:p>
    <w:tbl>
      <w:tblPr>
        <w:tblStyle w:val="ToolkitTable"/>
        <w:tblW w:type="auto" w:w="0"/>
        <w:jc w:val="left"/>
        <w:tblLayout w:type="fixed"/>
        <w:tblLook w:val="04A0" w:firstRow="1" w:lastRow="0" w:firstColumn="0" w:lastColumn="0" w:noHBand="0" w:noVBand="1"/>
      </w:tblPr>
      <w:tblGrid>
        <w:gridCol w:w="1872"/>
        <w:gridCol w:w="7488"/>
      </w:tblGrid>
      <w:tr>
        <w:trPr>
          <w:tblHeader/>
        </w:trPr>
        <w:tc>
          <w:tcPr>
            <w:tcW w:type="dxa" w:w="1872"/>
          </w:tcPr>
          <w:p>
            <w:pPr>
              <w:spacing w:before="20" w:after="20" w:line="254" w:lineRule="auto"/>
            </w:pPr>
            <w:r>
              <w:rPr>
                <w:rFonts w:ascii="Carlito" w:hAnsi="Carlito"/>
                <w:b/>
                <w:i w:val="0"/>
                <w:color w:val="FFFFFF"/>
                <w:sz w:val="19"/>
              </w:rPr>
              <w:t>Field</w:t>
            </w:r>
          </w:p>
        </w:tc>
        <w:tc>
          <w:tcPr>
            <w:tcW w:type="dxa" w:w="7488"/>
          </w:tcPr>
          <w:p>
            <w:pPr>
              <w:spacing w:before="20" w:after="20" w:line="254" w:lineRule="auto"/>
            </w:pPr>
            <w:r>
              <w:rPr>
                <w:rFonts w:ascii="Carlito" w:hAnsi="Carlito"/>
                <w:b/>
                <w:i w:val="0"/>
                <w:color w:val="FFFFFF"/>
                <w:sz w:val="19"/>
              </w:rPr>
              <w:t>Entry</w:t>
            </w:r>
          </w:p>
        </w:tc>
      </w:tr>
      <w:tr>
        <w:tc>
          <w:tcPr>
            <w:tcW w:type="dxa" w:w="1872"/>
          </w:tcPr>
          <w:p>
            <w:pPr>
              <w:spacing w:before="20" w:after="20" w:line="254" w:lineRule="auto"/>
            </w:pPr>
            <w:r>
              <w:rPr>
                <w:rFonts w:ascii="Carlito" w:hAnsi="Carlito"/>
                <w:b w:val="0"/>
                <w:i w:val="0"/>
                <w:sz w:val="19"/>
              </w:rPr>
              <w:t>Product and event</w:t>
            </w:r>
          </w:p>
        </w:tc>
        <w:tc>
          <w:tcPr>
            <w:tcW w:type="dxa" w:w="7488"/>
          </w:tcPr>
          <w:p>
            <w:pPr>
              <w:spacing w:before="20" w:after="20" w:line="254" w:lineRule="auto"/>
            </w:pPr>
            <w:r>
              <w:rPr>
                <w:rFonts w:ascii="Carlito" w:hAnsi="Carlito"/>
                <w:b w:val="0"/>
                <w:i w:val="0"/>
                <w:sz w:val="19"/>
              </w:rPr>
              <w:t>Pramtelide, solution for injection, subcutaneous, weekly. Acute pancreatitis, with a distinct question on necrotizing severity. MedDRA version 29.1: preferred terms Pancreatitis, Pancreatitis acute, Pancreatitis necrotising; SMQ “Acute pancreatitis”, narrow and broad</w:t>
            </w:r>
          </w:p>
        </w:tc>
      </w:tr>
      <w:tr>
        <w:tc>
          <w:tcPr>
            <w:tcW w:type="dxa" w:w="1872"/>
          </w:tcPr>
          <w:p>
            <w:pPr>
              <w:spacing w:before="20" w:after="20" w:line="254" w:lineRule="auto"/>
            </w:pPr>
            <w:r>
              <w:rPr>
                <w:rFonts w:ascii="Carlito" w:hAnsi="Carlito"/>
                <w:b w:val="0"/>
                <w:i w:val="0"/>
                <w:sz w:val="19"/>
              </w:rPr>
              <w:t>Alert source and date</w:t>
            </w:r>
          </w:p>
        </w:tc>
        <w:tc>
          <w:tcPr>
            <w:tcW w:type="dxa" w:w="7488"/>
          </w:tcPr>
          <w:p>
            <w:pPr>
              <w:spacing w:before="20" w:after="20" w:line="254" w:lineRule="auto"/>
            </w:pPr>
            <w:r>
              <w:rPr>
                <w:rFonts w:ascii="Carlito" w:hAnsi="Carlito"/>
                <w:b w:val="0"/>
                <w:i w:val="0"/>
                <w:sz w:val="19"/>
              </w:rPr>
              <w:t>Routine quarterly screening of the company safety database, clinical review of the retrieved series; alert raised 2 April, Year 2</w:t>
            </w:r>
          </w:p>
        </w:tc>
      </w:tr>
      <w:tr>
        <w:tc>
          <w:tcPr>
            <w:tcW w:type="dxa" w:w="1872"/>
          </w:tcPr>
          <w:p>
            <w:pPr>
              <w:spacing w:before="20" w:after="20" w:line="254" w:lineRule="auto"/>
            </w:pPr>
            <w:r>
              <w:rPr>
                <w:rFonts w:ascii="Carlito" w:hAnsi="Carlito"/>
                <w:b w:val="0"/>
                <w:i w:val="0"/>
                <w:sz w:val="19"/>
              </w:rPr>
              <w:t>Data cut</w:t>
            </w:r>
          </w:p>
        </w:tc>
        <w:tc>
          <w:tcPr>
            <w:tcW w:type="dxa" w:w="7488"/>
          </w:tcPr>
          <w:p>
            <w:pPr>
              <w:spacing w:before="20" w:after="20" w:line="254" w:lineRule="auto"/>
            </w:pPr>
            <w:r>
              <w:rPr>
                <w:rFonts w:ascii="Carlito" w:hAnsi="Carlito"/>
                <w:b w:val="0"/>
                <w:i w:val="0"/>
                <w:sz w:val="19"/>
              </w:rPr>
              <w:t>31 March, Year 2</w:t>
            </w:r>
          </w:p>
        </w:tc>
      </w:tr>
      <w:tr>
        <w:tc>
          <w:tcPr>
            <w:tcW w:type="dxa" w:w="1872"/>
          </w:tcPr>
          <w:p>
            <w:pPr>
              <w:spacing w:before="20" w:after="20" w:line="254" w:lineRule="auto"/>
            </w:pPr>
            <w:r>
              <w:rPr>
                <w:rFonts w:ascii="Carlito" w:hAnsi="Carlito"/>
                <w:b w:val="0"/>
                <w:i w:val="0"/>
                <w:sz w:val="19"/>
              </w:rPr>
              <w:t>Retrieval</w:t>
            </w:r>
          </w:p>
        </w:tc>
        <w:tc>
          <w:tcPr>
            <w:tcW w:type="dxa" w:w="7488"/>
          </w:tcPr>
          <w:p>
            <w:pPr>
              <w:spacing w:before="20" w:after="20" w:line="254" w:lineRule="auto"/>
            </w:pPr>
            <w:r>
              <w:rPr>
                <w:rFonts w:ascii="Carlito" w:hAnsi="Carlito"/>
                <w:b w:val="0"/>
                <w:i w:val="0"/>
                <w:sz w:val="19"/>
              </w:rPr>
              <w:t>11 reports retrieved; 11 unique after duplicate review; 2 assessable against the diagnostic criteria of the case definition</w:t>
            </w:r>
          </w:p>
        </w:tc>
      </w:tr>
      <w:tr>
        <w:tc>
          <w:tcPr>
            <w:tcW w:type="dxa" w:w="1872"/>
          </w:tcPr>
          <w:p>
            <w:pPr>
              <w:spacing w:before="20" w:after="20" w:line="254" w:lineRule="auto"/>
            </w:pPr>
            <w:r>
              <w:rPr>
                <w:rFonts w:ascii="Carlito" w:hAnsi="Carlito"/>
                <w:b w:val="0"/>
                <w:i w:val="0"/>
                <w:sz w:val="19"/>
              </w:rPr>
              <w:t>Reference information checked</w:t>
            </w:r>
          </w:p>
        </w:tc>
        <w:tc>
          <w:tcPr>
            <w:tcW w:type="dxa" w:w="7488"/>
          </w:tcPr>
          <w:p>
            <w:pPr>
              <w:spacing w:before="20" w:after="20" w:line="254" w:lineRule="auto"/>
            </w:pPr>
            <w:r>
              <w:rPr>
                <w:rFonts w:ascii="Carlito" w:hAnsi="Carlito"/>
                <w:b w:val="0"/>
                <w:i w:val="0"/>
                <w:sz w:val="19"/>
              </w:rPr>
              <w:t>Company core data sheet v4.0; EU summary of product characteristics and US prescribing information, both current; investigator's brochure v7 for the ongoing extension study. All three list pancreatitis as an uncommon adverse reaction. None describes necrotizing severity, ICU-level care, or any relationship to the escalation schedule</w:t>
            </w:r>
          </w:p>
        </w:tc>
      </w:tr>
      <w:tr>
        <w:tc>
          <w:tcPr>
            <w:tcW w:type="dxa" w:w="1872"/>
          </w:tcPr>
          <w:p>
            <w:pPr>
              <w:spacing w:before="20" w:after="20" w:line="254" w:lineRule="auto"/>
            </w:pPr>
            <w:r>
              <w:rPr>
                <w:rFonts w:ascii="Carlito" w:hAnsi="Carlito"/>
                <w:b w:val="0"/>
                <w:i w:val="0"/>
                <w:sz w:val="19"/>
              </w:rPr>
              <w:t>Evidence supporting validation</w:t>
            </w:r>
          </w:p>
        </w:tc>
        <w:tc>
          <w:tcPr>
            <w:tcW w:type="dxa" w:w="7488"/>
          </w:tcPr>
          <w:p>
            <w:pPr>
              <w:spacing w:before="20" w:after="20" w:line="254" w:lineRule="auto"/>
            </w:pPr>
            <w:r>
              <w:rPr>
                <w:rFonts w:ascii="Carlito" w:hAnsi="Carlito"/>
                <w:b w:val="0"/>
                <w:i w:val="0"/>
                <w:sz w:val="19"/>
              </w:rPr>
              <w:t>Claimed new aspect: severity and a possible dose relationship. Two reports describe imaging-confirmed necrotizing pancreatitis with hospitalization, one requiring intensive care. Both occurred after a step up in dose, on day 14 and day 22 after escalation, an internally consistent and biologically compatible interval. Escalation-related timing is not described in any reference document</w:t>
            </w:r>
          </w:p>
        </w:tc>
      </w:tr>
      <w:tr>
        <w:tc>
          <w:tcPr>
            <w:tcW w:type="dxa" w:w="1872"/>
          </w:tcPr>
          <w:p>
            <w:pPr>
              <w:spacing w:before="20" w:after="20" w:line="254" w:lineRule="auto"/>
            </w:pPr>
            <w:r>
              <w:rPr>
                <w:rFonts w:ascii="Carlito" w:hAnsi="Carlito"/>
                <w:b w:val="0"/>
                <w:i w:val="0"/>
                <w:sz w:val="19"/>
              </w:rPr>
              <w:t>Evidence against validation</w:t>
            </w:r>
          </w:p>
        </w:tc>
        <w:tc>
          <w:tcPr>
            <w:tcW w:type="dxa" w:w="7488"/>
          </w:tcPr>
          <w:p>
            <w:pPr>
              <w:spacing w:before="20" w:after="20" w:line="254" w:lineRule="auto"/>
            </w:pPr>
            <w:r>
              <w:rPr>
                <w:rFonts w:ascii="Carlito" w:hAnsi="Carlito"/>
                <w:b w:val="0"/>
                <w:i w:val="0"/>
                <w:sz w:val="19"/>
              </w:rPr>
              <w:t>The broad event is already described in all three reference documents. Nine of 11 reports contain no lipase, amylase, or imaging data and cannot be adjudicated. Seven of 11 describe gallstone disease or heavy alcohol use; case-by-case checking is recorded in the review log. Development programme showed 6 of 2,880 exposed versus 5 of 2,850 comparator, with no imbalance. Published claims-based study reports adjusted hazard ratio 1.08 (95% CI 0.81 to 1.44) for pancreatitis of any severity</w:t>
            </w:r>
          </w:p>
        </w:tc>
      </w:tr>
      <w:tr>
        <w:tc>
          <w:tcPr>
            <w:tcW w:type="dxa" w:w="1872"/>
          </w:tcPr>
          <w:p>
            <w:pPr>
              <w:spacing w:before="20" w:after="20" w:line="254" w:lineRule="auto"/>
            </w:pPr>
            <w:r>
              <w:rPr>
                <w:rFonts w:ascii="Carlito" w:hAnsi="Carlito"/>
                <w:b w:val="0"/>
                <w:i w:val="0"/>
                <w:sz w:val="19"/>
              </w:rPr>
              <w:t>Missing information</w:t>
            </w:r>
          </w:p>
        </w:tc>
        <w:tc>
          <w:tcPr>
            <w:tcW w:type="dxa" w:w="7488"/>
          </w:tcPr>
          <w:p>
            <w:pPr>
              <w:spacing w:before="20" w:after="20" w:line="254" w:lineRule="auto"/>
            </w:pPr>
            <w:r>
              <w:rPr>
                <w:rFonts w:ascii="Carlito" w:hAnsi="Carlito"/>
                <w:b w:val="0"/>
                <w:i w:val="0"/>
                <w:sz w:val="19"/>
              </w:rPr>
              <w:t>Lipase or amylase values, imaging, and discharge diagnoses for the nine undocumented reports; alcohol and biliary history for both documented cases; dose and escalation dates for all 11; any rechallenge information. Targeted follow-up questionnaires issued 5 April, Year 2 to reporting affiliates in all source countries; responses due 6 weeks</w:t>
            </w:r>
          </w:p>
        </w:tc>
      </w:tr>
      <w:tr>
        <w:tc>
          <w:tcPr>
            <w:tcW w:type="dxa" w:w="1872"/>
          </w:tcPr>
          <w:p>
            <w:pPr>
              <w:spacing w:before="20" w:after="20" w:line="254" w:lineRule="auto"/>
            </w:pPr>
            <w:r>
              <w:rPr>
                <w:rFonts w:ascii="Carlito" w:hAnsi="Carlito"/>
                <w:b w:val="0"/>
                <w:i w:val="0"/>
                <w:sz w:val="19"/>
              </w:rPr>
              <w:t>Decision</w:t>
            </w:r>
          </w:p>
        </w:tc>
        <w:tc>
          <w:tcPr>
            <w:tcW w:type="dxa" w:w="7488"/>
          </w:tcPr>
          <w:p>
            <w:pPr>
              <w:spacing w:before="20" w:after="20" w:line="254" w:lineRule="auto"/>
            </w:pPr>
            <w:r>
              <w:rPr>
                <w:rFonts w:ascii="Carlito" w:hAnsi="Carlito"/>
                <w:b w:val="0"/>
                <w:i w:val="0"/>
                <w:sz w:val="19"/>
              </w:rPr>
              <w:t>Not validated at this data cut. The broad association is adequately described in reference information. The severity aspect is potentially novel but is supported by two cases with no rechallenge, no dose-response data beyond the temporal antecedent, no trial imbalance, and no epidemiologic estimate addressing severity. The evidence does not yet justify formal analysis. This is not a conclusion that the product does not cause severe pancreatitis</w:t>
            </w:r>
          </w:p>
        </w:tc>
      </w:tr>
      <w:tr>
        <w:tc>
          <w:tcPr>
            <w:tcW w:type="dxa" w:w="1872"/>
          </w:tcPr>
          <w:p>
            <w:pPr>
              <w:spacing w:before="20" w:after="20" w:line="254" w:lineRule="auto"/>
            </w:pPr>
            <w:r>
              <w:rPr>
                <w:rFonts w:ascii="Carlito" w:hAnsi="Carlito"/>
                <w:b w:val="0"/>
                <w:i w:val="0"/>
                <w:sz w:val="19"/>
              </w:rPr>
              <w:t>Monitoring arrangement</w:t>
            </w:r>
          </w:p>
        </w:tc>
        <w:tc>
          <w:tcPr>
            <w:tcW w:type="dxa" w:w="7488"/>
          </w:tcPr>
          <w:p>
            <w:pPr>
              <w:spacing w:before="20" w:after="20" w:line="254" w:lineRule="auto"/>
            </w:pPr>
            <w:r>
              <w:rPr>
                <w:rFonts w:ascii="Carlito" w:hAnsi="Carlito"/>
                <w:b w:val="0"/>
                <w:i w:val="0"/>
                <w:sz w:val="19"/>
              </w:rPr>
              <w:t>Routine screening continues at the standard quarterly cycle. The two documented cases are retained in a standing review set and re-examined at each cycle. Literature surveillance flagged for necrotizing pancreatitis with this active moiety</w:t>
            </w:r>
          </w:p>
        </w:tc>
      </w:tr>
      <w:tr>
        <w:tc>
          <w:tcPr>
            <w:tcW w:type="dxa" w:w="1872"/>
          </w:tcPr>
          <w:p>
            <w:pPr>
              <w:spacing w:before="20" w:after="20" w:line="254" w:lineRule="auto"/>
            </w:pPr>
            <w:r>
              <w:rPr>
                <w:rFonts w:ascii="Carlito" w:hAnsi="Carlito"/>
                <w:b w:val="0"/>
                <w:i w:val="0"/>
                <w:sz w:val="19"/>
              </w:rPr>
              <w:t>Reopening triggers</w:t>
            </w:r>
          </w:p>
        </w:tc>
        <w:tc>
          <w:tcPr>
            <w:tcW w:type="dxa" w:w="7488"/>
          </w:tcPr>
          <w:p>
            <w:pPr>
              <w:spacing w:before="20" w:after="20" w:line="254" w:lineRule="auto"/>
            </w:pPr>
            <w:r>
              <w:rPr>
                <w:rFonts w:ascii="Carlito" w:hAnsi="Carlito"/>
                <w:b w:val="0"/>
                <w:i w:val="0"/>
                <w:sz w:val="19"/>
              </w:rPr>
              <w:t>(a) Three new reports meeting the case definition with compatible latency; (b) any positive rechallenge; (c) a request from any competent authority; (d) a controlled study reporting increased risk. Any single trigger returns the question to formal validation within 14 days</w:t>
            </w:r>
          </w:p>
        </w:tc>
      </w:tr>
      <w:tr>
        <w:tc>
          <w:tcPr>
            <w:tcW w:type="dxa" w:w="1872"/>
          </w:tcPr>
          <w:p>
            <w:pPr>
              <w:spacing w:before="20" w:after="20" w:line="254" w:lineRule="auto"/>
            </w:pPr>
            <w:r>
              <w:rPr>
                <w:rFonts w:ascii="Carlito" w:hAnsi="Carlito"/>
                <w:b w:val="0"/>
                <w:i w:val="0"/>
                <w:sz w:val="19"/>
              </w:rPr>
              <w:t>Escalation requirement</w:t>
            </w:r>
          </w:p>
        </w:tc>
        <w:tc>
          <w:tcPr>
            <w:tcW w:type="dxa" w:w="7488"/>
          </w:tcPr>
          <w:p>
            <w:pPr>
              <w:spacing w:before="20" w:after="20" w:line="254" w:lineRule="auto"/>
            </w:pPr>
            <w:r>
              <w:rPr>
                <w:rFonts w:ascii="Carlito" w:hAnsi="Carlito"/>
                <w:b w:val="0"/>
                <w:i w:val="0"/>
                <w:sz w:val="19"/>
              </w:rPr>
              <w:t>No. No fatal outcome, no product-quality element, no evidence of rapid geographic spread. Reviewed against the emerging safety issue criteria and documented as not met</w:t>
            </w:r>
          </w:p>
        </w:tc>
      </w:tr>
      <w:tr>
        <w:tc>
          <w:tcPr>
            <w:tcW w:type="dxa" w:w="1872"/>
          </w:tcPr>
          <w:p>
            <w:pPr>
              <w:spacing w:before="20" w:after="20" w:line="254" w:lineRule="auto"/>
            </w:pPr>
            <w:r>
              <w:rPr>
                <w:rFonts w:ascii="Carlito" w:hAnsi="Carlito"/>
                <w:b w:val="0"/>
                <w:i w:val="0"/>
                <w:sz w:val="19"/>
              </w:rPr>
              <w:t>Reviewer and date</w:t>
            </w:r>
          </w:p>
        </w:tc>
        <w:tc>
          <w:tcPr>
            <w:tcW w:type="dxa" w:w="7488"/>
          </w:tcPr>
          <w:p>
            <w:pPr>
              <w:spacing w:before="20" w:after="20" w:line="254" w:lineRule="auto"/>
            </w:pPr>
            <w:r>
              <w:rPr>
                <w:rFonts w:ascii="Carlito" w:hAnsi="Carlito"/>
                <w:b w:val="0"/>
                <w:i w:val="0"/>
                <w:sz w:val="19"/>
              </w:rPr>
              <w:t>Safety physician, product safety lead, 8 April, Year 2. Countersigned by the head of signal management, 9 April, Year 2</w:t>
            </w:r>
          </w:p>
        </w:tc>
      </w:tr>
    </w:tbl>
    <w:p>
      <w:pPr>
        <w:spacing w:after="40"/>
      </w:pPr>
    </w:p>
    <w:p>
      <w:r>
        <w:t>What made this closure defensible was not its length. It was that the triggers were countable, and at the Year 3 month 9 data cut four new well-documented necrotizing cases and one positive rechallenge met triggers (a) and (b). The triggers, not a reviewer's memory, reopened the file.</w:t>
      </w: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T-05 Validation Checklist and Memo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