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T-07 — Signal Assessment Protocol</w:t>
      </w:r>
    </w:p>
    <w:p>
      <w:pPr>
        <w:spacing w:after="20"/>
      </w:pPr>
      <w:r>
        <w:rPr>
          <w:rFonts w:ascii="Caladea" w:hAnsi="Caladea"/>
          <w:b/>
          <w:color w:val="1E2A32"/>
          <w:sz w:val="21"/>
        </w:rPr>
        <w:t>Signal Management in Pharmacovigilance</w:t>
      </w:r>
    </w:p>
    <w:p>
      <w:pPr>
        <w:spacing w:after="120"/>
      </w:pPr>
      <w:r>
        <w:rPr>
          <w:rFonts w:ascii="Carlito" w:hAnsi="Carlito"/>
          <w:color w:val="4A5B63"/>
          <w:sz w:val="19"/>
        </w:rPr>
        <w:t>Dr. Hafez Selim, MD, PhD  ·  Selim Medical Press</w:t>
      </w:r>
    </w:p>
    <w:p>
      <w:pPr>
        <w:spacing w:before="40" w:after="160"/>
        <w:pBdr>
          <w:bottom w:val="single" w:sz="12" w:space="1" w:color="1F5661"/>
        </w:pBdr>
      </w:pPr>
    </w:p>
    <w:p>
      <w:pPr>
        <w:spacing w:after="200"/>
      </w:pPr>
      <w:r>
        <w:rPr>
          <w:rFonts w:ascii="Carlito" w:hAnsi="Carlito"/>
          <w:b/>
          <w:color w:val="1F5661"/>
          <w:sz w:val="20"/>
        </w:rPr>
        <w:t xml:space="preserve">When to use this tool: </w:t>
      </w:r>
      <w:r>
        <w:rPr>
          <w:rFonts w:ascii="Carlito" w:hAnsi="Carlito"/>
          <w:color w:val="1E2A32"/>
          <w:sz w:val="20"/>
        </w:rPr>
        <w:t>Write once, before the first search. It is what an inspector or an independent reviewer uses to check that the analysis performed was the analysis planned.</w:t>
      </w:r>
    </w:p>
    <w:p>
      <w:r>
        <w:t>Two habits separate a protocol from a form that was filled in. Version the document and date every amendment with its reason, distinguishing amendments made before any data were seen from those made after, because the two carry different weight with a reviewer and the distinction cannot be reconstructed later. And write section 3 before sections 5 to 8 rather than alongside them, since a question drafted after the analyses have been chosen tends to describe what the team was going to do anyway.</w:t>
      </w:r>
    </w:p>
    <w:p>
      <w:pPr>
        <w:pStyle w:val="Prompt"/>
      </w:pPr>
      <w:r>
        <w:t>Complete every field, including those with nothing in them. A comparator entry reading “no credible comparator; question reframed as a pattern question, see section 3” is a finding. A blank comparator field is indistinguishable from one nobody considered.</w:t>
      </w:r>
    </w:p>
    <w:p>
      <w:pPr>
        <w:pStyle w:val="SubtleNote"/>
      </w:pPr>
      <w:r>
        <w:t>Thresholds and decision anchors entered in sections 7 and 9 are company design choices, not regulatory requirements, and must be described as such wherever the protocol is shared externally.</w:t>
      </w:r>
    </w:p>
    <w:p>
      <w:pPr>
        <w:pStyle w:val="Heading1"/>
      </w:pPr>
      <w:r>
        <w:t>Protocol sections</w:t>
      </w:r>
    </w:p>
    <w:tbl>
      <w:tblPr>
        <w:tblStyle w:val="ToolkitTable"/>
        <w:tblW w:type="auto" w:w="0"/>
        <w:jc w:val="left"/>
        <w:tblLayout w:type="fixed"/>
        <w:tblLook w:val="04A0" w:firstRow="1" w:lastRow="0" w:firstColumn="0" w:lastColumn="0" w:noHBand="0" w:noVBand="1"/>
      </w:tblPr>
      <w:tblGrid>
        <w:gridCol w:w="2059"/>
        <w:gridCol w:w="3744"/>
        <w:gridCol w:w="3557"/>
      </w:tblGrid>
      <w:tr>
        <w:trPr>
          <w:tblHeader/>
        </w:trPr>
        <w:tc>
          <w:tcPr>
            <w:tcW w:type="dxa" w:w="2059"/>
          </w:tcPr>
          <w:p>
            <w:pPr>
              <w:spacing w:before="20" w:after="20" w:line="254" w:lineRule="auto"/>
            </w:pPr>
            <w:r>
              <w:rPr>
                <w:rFonts w:ascii="Carlito" w:hAnsi="Carlito"/>
                <w:b/>
                <w:i w:val="0"/>
                <w:color w:val="FFFFFF"/>
                <w:sz w:val="19"/>
              </w:rPr>
              <w:t>Field</w:t>
            </w:r>
          </w:p>
        </w:tc>
        <w:tc>
          <w:tcPr>
            <w:tcW w:type="dxa" w:w="3744"/>
          </w:tcPr>
          <w:p>
            <w:pPr>
              <w:spacing w:before="20" w:after="20" w:line="254" w:lineRule="auto"/>
            </w:pPr>
            <w:r>
              <w:rPr>
                <w:rFonts w:ascii="Carlito" w:hAnsi="Carlito"/>
                <w:b/>
                <w:i w:val="0"/>
                <w:color w:val="FFFFFF"/>
                <w:sz w:val="19"/>
              </w:rPr>
              <w:t>What to record — and what a good entry looks like</w:t>
            </w:r>
          </w:p>
        </w:tc>
        <w:tc>
          <w:tcPr>
            <w:tcW w:type="dxa" w:w="3557"/>
          </w:tcPr>
          <w:p>
            <w:pPr>
              <w:spacing w:before="20" w:after="20" w:line="254" w:lineRule="auto"/>
            </w:pPr>
            <w:r>
              <w:rPr>
                <w:rFonts w:ascii="Carlito" w:hAnsi="Carlito"/>
                <w:b/>
                <w:i w:val="0"/>
                <w:color w:val="FFFFFF"/>
                <w:sz w:val="19"/>
              </w:rPr>
              <w:t>Your entry</w:t>
            </w:r>
          </w:p>
        </w:tc>
      </w:tr>
      <w:tr>
        <w:tc>
          <w:tcPr>
            <w:tcW w:type="dxa" w:w="2059"/>
          </w:tcPr>
          <w:p>
            <w:pPr>
              <w:spacing w:before="20" w:after="20" w:line="254" w:lineRule="auto"/>
            </w:pPr>
            <w:r>
              <w:rPr>
                <w:rFonts w:ascii="Carlito" w:hAnsi="Carlito"/>
                <w:b w:val="0"/>
                <w:i w:val="0"/>
                <w:sz w:val="19"/>
              </w:rPr>
              <w:t>1. Identification</w:t>
            </w:r>
          </w:p>
        </w:tc>
        <w:tc>
          <w:tcPr>
            <w:tcW w:type="dxa" w:w="3744"/>
          </w:tcPr>
          <w:p>
            <w:pPr>
              <w:spacing w:before="20" w:after="20" w:line="254" w:lineRule="auto"/>
            </w:pPr>
            <w:r>
              <w:rPr>
                <w:rFonts w:ascii="Carlito" w:hAnsi="Carlito"/>
                <w:b w:val="0"/>
                <w:i w:val="0"/>
                <w:sz w:val="19"/>
              </w:rPr>
              <w:t>Signal reference (EPITT number where applicable), product, alert source, validation date, priority, data cut, author, reviewer</w:t>
            </w:r>
          </w:p>
          <w:p>
            <w:pPr>
              <w:spacing w:before="20" w:after="20" w:line="254" w:lineRule="auto"/>
            </w:pPr>
            <w:r>
              <w:rPr>
                <w:rFonts w:ascii="Carlito" w:hAnsi="Carlito"/>
                <w:b w:val="0"/>
                <w:i/>
                <w:color w:val="4A5B63"/>
                <w:sz w:val="17"/>
              </w:rPr>
              <w:t>The priority band and the method that produced it, flagged as a company design.</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2. Background</w:t>
            </w:r>
          </w:p>
        </w:tc>
        <w:tc>
          <w:tcPr>
            <w:tcW w:type="dxa" w:w="3744"/>
          </w:tcPr>
          <w:p>
            <w:pPr>
              <w:spacing w:before="20" w:after="20" w:line="254" w:lineRule="auto"/>
            </w:pPr>
            <w:r>
              <w:rPr>
                <w:rFonts w:ascii="Carlito" w:hAnsi="Carlito"/>
                <w:b w:val="0"/>
                <w:i w:val="0"/>
                <w:sz w:val="19"/>
              </w:rPr>
              <w:t>Current reference safety information wording, previous assessments and closures, class information, why the concern is new or newly characterized</w:t>
            </w:r>
          </w:p>
          <w:p>
            <w:pPr>
              <w:spacing w:before="20" w:after="20" w:line="254" w:lineRule="auto"/>
            </w:pPr>
            <w:r>
              <w:rPr>
                <w:rFonts w:ascii="Carlito" w:hAnsi="Carlito"/>
                <w:b w:val="0"/>
                <w:i/>
                <w:color w:val="4A5B63"/>
                <w:sz w:val="17"/>
              </w:rPr>
              <w:t>Quote the current wording rather than summarizing it. A prior closure omitted here makes a reopened signal read as new.</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3. Assessment question</w:t>
            </w:r>
          </w:p>
        </w:tc>
        <w:tc>
          <w:tcPr>
            <w:tcW w:type="dxa" w:w="3744"/>
          </w:tcPr>
          <w:p>
            <w:pPr>
              <w:spacing w:before="20" w:after="20" w:line="254" w:lineRule="auto"/>
            </w:pPr>
            <w:r>
              <w:rPr>
                <w:rFonts w:ascii="Carlito" w:hAnsi="Carlito"/>
                <w:b w:val="0"/>
                <w:i w:val="0"/>
                <w:sz w:val="19"/>
              </w:rPr>
              <w:t>One sentence in PICOTS form plus the decision field; secondary questions listed separately and ranked</w:t>
            </w:r>
          </w:p>
          <w:p>
            <w:pPr>
              <w:spacing w:before="20" w:after="20" w:line="254" w:lineRule="auto"/>
            </w:pPr>
            <w:r>
              <w:rPr>
                <w:rFonts w:ascii="Carlito" w:hAnsi="Carlito"/>
                <w:b w:val="0"/>
                <w:i/>
                <w:color w:val="4A5B63"/>
                <w:sz w:val="17"/>
              </w:rPr>
              <w:t>PICOTS: population, intervention/exposure, comparator, outcome with its definition, timing/risk window, setting. Add: what decision each possible answer supports.</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4. Product definition</w:t>
            </w:r>
          </w:p>
        </w:tc>
        <w:tc>
          <w:tcPr>
            <w:tcW w:type="dxa" w:w="3744"/>
          </w:tcPr>
          <w:p>
            <w:pPr>
              <w:spacing w:before="20" w:after="20" w:line="254" w:lineRule="auto"/>
            </w:pPr>
            <w:r>
              <w:rPr>
                <w:rFonts w:ascii="Carlito" w:hAnsi="Carlito"/>
                <w:b w:val="0"/>
                <w:i w:val="0"/>
                <w:sz w:val="19"/>
              </w:rPr>
              <w:t>Active moiety, formulation, route, dose and schedule, indication, combination regimen, device or batch component</w:t>
            </w:r>
          </w:p>
          <w:p>
            <w:pPr>
              <w:spacing w:before="20" w:after="20" w:line="254" w:lineRule="auto"/>
            </w:pPr>
            <w:r>
              <w:rPr>
                <w:rFonts w:ascii="Carlito" w:hAnsi="Carlito"/>
                <w:b w:val="0"/>
                <w:i/>
                <w:color w:val="4A5B63"/>
                <w:sz w:val="17"/>
              </w:rPr>
              <w:t>For biologics and combination products, the suspect entity may be the presentation or the batch, not the molecule.</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5. Event definitions</w:t>
            </w:r>
          </w:p>
        </w:tc>
        <w:tc>
          <w:tcPr>
            <w:tcW w:type="dxa" w:w="3744"/>
          </w:tcPr>
          <w:p>
            <w:pPr>
              <w:spacing w:before="20" w:after="20" w:line="254" w:lineRule="auto"/>
            </w:pPr>
            <w:r>
              <w:rPr>
                <w:rFonts w:ascii="Carlito" w:hAnsi="Carlito"/>
                <w:b w:val="0"/>
                <w:i w:val="0"/>
                <w:sz w:val="19"/>
              </w:rPr>
              <w:t>Retrieval definition (MedDRA version, SMQ or term list, scope) and adjudication definition (criteria, thresholds with units and ULN, severity, phenotype, exclusions)</w:t>
            </w:r>
          </w:p>
          <w:p>
            <w:pPr>
              <w:spacing w:before="20" w:after="20" w:line="254" w:lineRule="auto"/>
            </w:pPr>
            <w:r>
              <w:rPr>
                <w:rFonts w:ascii="Carlito" w:hAnsi="Carlito"/>
                <w:b w:val="0"/>
                <w:i/>
                <w:color w:val="4A5B63"/>
                <w:sz w:val="17"/>
              </w:rPr>
              <w:t>These are two different definitions doing two different jobs. Retrieval is deliberately broad; adjudication is deliberately narrow. Write both.</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6. Data sources and searches</w:t>
            </w:r>
          </w:p>
        </w:tc>
        <w:tc>
          <w:tcPr>
            <w:tcW w:type="dxa" w:w="3744"/>
          </w:tcPr>
          <w:p>
            <w:pPr>
              <w:spacing w:before="20" w:after="20" w:line="254" w:lineRule="auto"/>
            </w:pPr>
            <w:r>
              <w:rPr>
                <w:rFonts w:ascii="Carlito" w:hAnsi="Carlito"/>
                <w:b w:val="0"/>
                <w:i w:val="0"/>
                <w:sz w:val="19"/>
              </w:rPr>
              <w:t>Each database, the exact search strategy, the data cut, deduplication rules, and the expected yield</w:t>
            </w:r>
          </w:p>
          <w:p>
            <w:pPr>
              <w:spacing w:before="20" w:after="20" w:line="254" w:lineRule="auto"/>
            </w:pPr>
            <w:r>
              <w:rPr>
                <w:rFonts w:ascii="Carlito" w:hAnsi="Carlito"/>
                <w:b w:val="0"/>
                <w:i/>
                <w:color w:val="4A5B63"/>
                <w:sz w:val="17"/>
              </w:rPr>
              <w:t>Write the syntax, not a description of the syntax. Expected yield is a planning estimate and stating it exposes a retrieval that goes wrong.</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7. Analyses</w:t>
            </w:r>
          </w:p>
        </w:tc>
        <w:tc>
          <w:tcPr>
            <w:tcW w:type="dxa" w:w="3744"/>
          </w:tcPr>
          <w:p>
            <w:pPr>
              <w:spacing w:before="20" w:after="20" w:line="254" w:lineRule="auto"/>
            </w:pPr>
            <w:r>
              <w:rPr>
                <w:rFonts w:ascii="Carlito" w:hAnsi="Carlito"/>
                <w:b w:val="0"/>
                <w:i w:val="0"/>
                <w:sz w:val="19"/>
              </w:rPr>
              <w:t>Case series and line listing; time-to-onset analysis; disproportionality as screening context with its stated limitations; observational or trial analysis; mechanism review; literature search</w:t>
            </w:r>
          </w:p>
          <w:p>
            <w:pPr>
              <w:spacing w:before="20" w:after="20" w:line="254" w:lineRule="auto"/>
            </w:pPr>
            <w:r>
              <w:rPr>
                <w:rFonts w:ascii="Carlito" w:hAnsi="Carlito"/>
                <w:b w:val="0"/>
                <w:i/>
                <w:color w:val="4A5B63"/>
                <w:sz w:val="17"/>
              </w:rPr>
              <w:t>Where disproportionality appears, state in the protocol that it measures reporting, not risk, incidence or comparative safety.</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8. Subgroups and sensitivity analyses</w:t>
            </w:r>
          </w:p>
        </w:tc>
        <w:tc>
          <w:tcPr>
            <w:tcW w:type="dxa" w:w="3744"/>
          </w:tcPr>
          <w:p>
            <w:pPr>
              <w:spacing w:before="20" w:after="20" w:line="254" w:lineRule="auto"/>
            </w:pPr>
            <w:r>
              <w:rPr>
                <w:rFonts w:ascii="Carlito" w:hAnsi="Carlito"/>
                <w:b w:val="0"/>
                <w:i w:val="0"/>
                <w:sz w:val="19"/>
              </w:rPr>
              <w:t>Prespecified subgroups, alternative risk windows, alternative comparators and case definitions, handling of missing data</w:t>
            </w:r>
          </w:p>
          <w:p>
            <w:pPr>
              <w:spacing w:before="20" w:after="20" w:line="254" w:lineRule="auto"/>
            </w:pPr>
            <w:r>
              <w:rPr>
                <w:rFonts w:ascii="Carlito" w:hAnsi="Carlito"/>
                <w:b w:val="0"/>
                <w:i/>
                <w:color w:val="4A5B63"/>
                <w:sz w:val="17"/>
              </w:rPr>
              <w:t>Prespecify. Computing enough subgroups guarantees that some will exceed any threshold.</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9. Decision criteria</w:t>
            </w:r>
          </w:p>
        </w:tc>
        <w:tc>
          <w:tcPr>
            <w:tcW w:type="dxa" w:w="3744"/>
          </w:tcPr>
          <w:p>
            <w:pPr>
              <w:spacing w:before="20" w:after="20" w:line="254" w:lineRule="auto"/>
            </w:pPr>
            <w:r>
              <w:rPr>
                <w:rFonts w:ascii="Carlito" w:hAnsi="Carlito"/>
                <w:b w:val="0"/>
                <w:i w:val="0"/>
                <w:sz w:val="19"/>
              </w:rPr>
              <w:t>Findings supporting monitoring, further study, labeling change, risk minimization, or closure; reopening triggers if closure is reached</w:t>
            </w:r>
          </w:p>
          <w:p>
            <w:pPr>
              <w:spacing w:before="20" w:after="20" w:line="254" w:lineRule="auto"/>
            </w:pPr>
            <w:r>
              <w:rPr>
                <w:rFonts w:ascii="Carlito" w:hAnsi="Carlito"/>
                <w:b w:val="0"/>
                <w:i/>
                <w:color w:val="4A5B63"/>
                <w:sz w:val="17"/>
              </w:rPr>
              <w:t>Fix the criteria before the result is known. That is the only thing that makes them criteria.</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10. Deliverables and governance</w:t>
            </w:r>
          </w:p>
        </w:tc>
        <w:tc>
          <w:tcPr>
            <w:tcW w:type="dxa" w:w="3744"/>
          </w:tcPr>
          <w:p>
            <w:pPr>
              <w:spacing w:before="20" w:after="20" w:line="254" w:lineRule="auto"/>
            </w:pPr>
            <w:r>
              <w:rPr>
                <w:rFonts w:ascii="Carlito" w:hAnsi="Carlito"/>
                <w:b w:val="0"/>
                <w:i w:val="0"/>
                <w:sz w:val="19"/>
              </w:rPr>
              <w:t>Report format, review committee, target dates, regulatory notification assessment, retention</w:t>
            </w:r>
          </w:p>
          <w:p>
            <w:pPr>
              <w:spacing w:before="20" w:after="20" w:line="254" w:lineRule="auto"/>
            </w:pPr>
            <w:r>
              <w:rPr>
                <w:rFonts w:ascii="Carlito" w:hAnsi="Carlito"/>
                <w:b w:val="0"/>
                <w:i/>
                <w:color w:val="4A5B63"/>
                <w:sz w:val="17"/>
              </w:rPr>
              <w:t>Cross-reference T-16 for committee records and T-17 for the report structure.</w:t>
            </w:r>
          </w:p>
        </w:tc>
        <w:tc>
          <w:tcPr>
            <w:tcW w:type="dxa" w:w="3557"/>
          </w:tcPr>
          <w:p>
            <w:pPr>
              <w:spacing w:before="20" w:after="20" w:line="254" w:lineRule="auto"/>
            </w:pPr>
          </w:p>
        </w:tc>
      </w:tr>
    </w:tbl>
    <w:p>
      <w:pPr>
        <w:spacing w:after="40"/>
      </w:pPr>
    </w:p>
    <w:p>
      <w:pPr>
        <w:pStyle w:val="Heading1"/>
      </w:pPr>
      <w:r>
        <w:t>Assessment question, written out</w:t>
      </w:r>
    </w:p>
    <w:tbl>
      <w:tblPr>
        <w:tblStyle w:val="ToolkitTable"/>
        <w:tblW w:type="auto" w:w="0"/>
        <w:jc w:val="left"/>
        <w:tblLayout w:type="fixed"/>
        <w:tblLook w:val="04A0" w:firstRow="1" w:lastRow="0" w:firstColumn="0" w:lastColumn="0" w:noHBand="0" w:noVBand="1"/>
      </w:tblPr>
      <w:tblGrid>
        <w:gridCol w:w="2059"/>
        <w:gridCol w:w="3744"/>
        <w:gridCol w:w="3557"/>
      </w:tblGrid>
      <w:tr>
        <w:trPr>
          <w:tblHeader/>
        </w:trPr>
        <w:tc>
          <w:tcPr>
            <w:tcW w:type="dxa" w:w="2059"/>
          </w:tcPr>
          <w:p>
            <w:pPr>
              <w:spacing w:before="20" w:after="20" w:line="254" w:lineRule="auto"/>
            </w:pPr>
            <w:r>
              <w:rPr>
                <w:rFonts w:ascii="Carlito" w:hAnsi="Carlito"/>
                <w:b/>
                <w:i w:val="0"/>
                <w:color w:val="FFFFFF"/>
                <w:sz w:val="19"/>
              </w:rPr>
              <w:t>Field</w:t>
            </w:r>
          </w:p>
        </w:tc>
        <w:tc>
          <w:tcPr>
            <w:tcW w:type="dxa" w:w="3744"/>
          </w:tcPr>
          <w:p>
            <w:pPr>
              <w:spacing w:before="20" w:after="20" w:line="254" w:lineRule="auto"/>
            </w:pPr>
            <w:r>
              <w:rPr>
                <w:rFonts w:ascii="Carlito" w:hAnsi="Carlito"/>
                <w:b/>
                <w:i w:val="0"/>
                <w:color w:val="FFFFFF"/>
                <w:sz w:val="19"/>
              </w:rPr>
              <w:t>What to record — and what a good entry looks like</w:t>
            </w:r>
          </w:p>
        </w:tc>
        <w:tc>
          <w:tcPr>
            <w:tcW w:type="dxa" w:w="3557"/>
          </w:tcPr>
          <w:p>
            <w:pPr>
              <w:spacing w:before="20" w:after="20" w:line="254" w:lineRule="auto"/>
            </w:pPr>
            <w:r>
              <w:rPr>
                <w:rFonts w:ascii="Carlito" w:hAnsi="Carlito"/>
                <w:b/>
                <w:i w:val="0"/>
                <w:color w:val="FFFFFF"/>
                <w:sz w:val="19"/>
              </w:rPr>
              <w:t>Your entry</w:t>
            </w:r>
          </w:p>
        </w:tc>
      </w:tr>
      <w:tr>
        <w:tc>
          <w:tcPr>
            <w:tcW w:type="dxa" w:w="2059"/>
          </w:tcPr>
          <w:p>
            <w:pPr>
              <w:spacing w:before="20" w:after="20" w:line="254" w:lineRule="auto"/>
            </w:pPr>
            <w:r>
              <w:rPr>
                <w:rFonts w:ascii="Carlito" w:hAnsi="Carlito"/>
                <w:b w:val="0"/>
                <w:i w:val="0"/>
                <w:sz w:val="19"/>
              </w:rPr>
              <w:t>P — Population</w:t>
            </w:r>
          </w:p>
        </w:tc>
        <w:tc>
          <w:tcPr>
            <w:tcW w:type="dxa" w:w="3744"/>
          </w:tcPr>
          <w:p>
            <w:pPr>
              <w:spacing w:before="20" w:after="20" w:line="254" w:lineRule="auto"/>
            </w:pPr>
            <w:r>
              <w:rPr>
                <w:rFonts w:ascii="Carlito" w:hAnsi="Carlito"/>
                <w:b w:val="0"/>
                <w:i w:val="0"/>
                <w:sz w:val="19"/>
              </w:rPr>
              <w:t>Who: indication, age, organ function, co-medication, line of therapy</w:t>
            </w:r>
          </w:p>
          <w:p>
            <w:pPr>
              <w:spacing w:before="20" w:after="20" w:line="254" w:lineRule="auto"/>
            </w:pPr>
            <w:r>
              <w:rPr>
                <w:rFonts w:ascii="Carlito" w:hAnsi="Carlito"/>
                <w:b w:val="0"/>
                <w:i/>
                <w:color w:val="4A5B63"/>
                <w:sz w:val="17"/>
              </w:rPr>
              <w:t>Narrow enough to be answerable. 'Patients taking the product' is not a population.</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I — Exposure</w:t>
            </w:r>
          </w:p>
        </w:tc>
        <w:tc>
          <w:tcPr>
            <w:tcW w:type="dxa" w:w="3744"/>
          </w:tcPr>
          <w:p>
            <w:pPr>
              <w:spacing w:before="20" w:after="20" w:line="254" w:lineRule="auto"/>
            </w:pPr>
            <w:r>
              <w:rPr>
                <w:rFonts w:ascii="Carlito" w:hAnsi="Carlito"/>
                <w:b w:val="0"/>
                <w:i w:val="0"/>
                <w:sz w:val="19"/>
              </w:rPr>
              <w:t>The moiety, dose, schedule, route, duration, and whether the clock starts at initiation, re-initiation, dose increase, or co-medication start</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C — Comparator</w:t>
            </w:r>
          </w:p>
        </w:tc>
        <w:tc>
          <w:tcPr>
            <w:tcW w:type="dxa" w:w="3744"/>
          </w:tcPr>
          <w:p>
            <w:pPr>
              <w:spacing w:before="20" w:after="20" w:line="254" w:lineRule="auto"/>
            </w:pPr>
            <w:r>
              <w:rPr>
                <w:rFonts w:ascii="Carlito" w:hAnsi="Carlito"/>
                <w:b w:val="0"/>
                <w:i w:val="0"/>
                <w:sz w:val="19"/>
              </w:rPr>
              <w:t>The comparison, or the explicit statement that none is credible and what replaces it</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O — Outcome</w:t>
            </w:r>
          </w:p>
        </w:tc>
        <w:tc>
          <w:tcPr>
            <w:tcW w:type="dxa" w:w="3744"/>
          </w:tcPr>
          <w:p>
            <w:pPr>
              <w:spacing w:before="20" w:after="20" w:line="254" w:lineRule="auto"/>
            </w:pPr>
            <w:r>
              <w:rPr>
                <w:rFonts w:ascii="Carlito" w:hAnsi="Carlito"/>
                <w:b w:val="0"/>
                <w:i w:val="0"/>
                <w:sz w:val="19"/>
              </w:rPr>
              <w:t>The adjudication definition with thresholds, units and ULN values</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T — Timing</w:t>
            </w:r>
          </w:p>
        </w:tc>
        <w:tc>
          <w:tcPr>
            <w:tcW w:type="dxa" w:w="3744"/>
          </w:tcPr>
          <w:p>
            <w:pPr>
              <w:spacing w:before="20" w:after="20" w:line="254" w:lineRule="auto"/>
            </w:pPr>
            <w:r>
              <w:rPr>
                <w:rFonts w:ascii="Carlito" w:hAnsi="Carlito"/>
                <w:b w:val="0"/>
                <w:i w:val="0"/>
                <w:sz w:val="19"/>
              </w:rPr>
              <w:t>The risk window, and its biological or operational basis</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S — Setting</w:t>
            </w:r>
          </w:p>
        </w:tc>
        <w:tc>
          <w:tcPr>
            <w:tcW w:type="dxa" w:w="3744"/>
          </w:tcPr>
          <w:p>
            <w:pPr>
              <w:spacing w:before="20" w:after="20" w:line="254" w:lineRule="auto"/>
            </w:pPr>
            <w:r>
              <w:rPr>
                <w:rFonts w:ascii="Carlito" w:hAnsi="Carlito"/>
                <w:b w:val="0"/>
                <w:i w:val="0"/>
                <w:sz w:val="19"/>
              </w:rPr>
              <w:t>Care setting, markets, and calendar period</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Decision field</w:t>
            </w:r>
          </w:p>
        </w:tc>
        <w:tc>
          <w:tcPr>
            <w:tcW w:type="dxa" w:w="3744"/>
          </w:tcPr>
          <w:p>
            <w:pPr>
              <w:spacing w:before="20" w:after="20" w:line="254" w:lineRule="auto"/>
            </w:pPr>
            <w:r>
              <w:rPr>
                <w:rFonts w:ascii="Carlito" w:hAnsi="Carlito"/>
                <w:b w:val="0"/>
                <w:i w:val="0"/>
                <w:sz w:val="19"/>
              </w:rPr>
              <w:t>What decision each possible answer would support</w:t>
            </w:r>
          </w:p>
          <w:p>
            <w:pPr>
              <w:spacing w:before="20" w:after="20" w:line="254" w:lineRule="auto"/>
            </w:pPr>
            <w:r>
              <w:rPr>
                <w:rFonts w:ascii="Carlito" w:hAnsi="Carlito"/>
                <w:b w:val="0"/>
                <w:i/>
                <w:color w:val="4A5B63"/>
                <w:sz w:val="17"/>
              </w:rPr>
              <w:t>If two different answers lead to the same action, the question is not worth asking in this form.</w:t>
            </w:r>
          </w:p>
        </w:tc>
        <w:tc>
          <w:tcPr>
            <w:tcW w:type="dxa" w:w="3557"/>
          </w:tcPr>
          <w:p>
            <w:pPr>
              <w:spacing w:before="20" w:after="20" w:line="254" w:lineRule="auto"/>
            </w:pPr>
          </w:p>
        </w:tc>
      </w:tr>
    </w:tbl>
    <w:p>
      <w:pPr>
        <w:spacing w:after="40"/>
      </w:pPr>
    </w:p>
    <w:p>
      <w:pPr>
        <w:pStyle w:val="Heading1"/>
      </w:pPr>
      <w:r>
        <w:t>Version and amendment history</w:t>
      </w:r>
    </w:p>
    <w:tbl>
      <w:tblPr>
        <w:tblStyle w:val="ToolkitTable"/>
        <w:tblW w:type="auto" w:w="0"/>
        <w:jc w:val="left"/>
        <w:tblLayout w:type="fixed"/>
        <w:tblLook w:val="04A0" w:firstRow="1" w:lastRow="0" w:firstColumn="0" w:lastColumn="0" w:noHBand="0" w:noVBand="1"/>
      </w:tblPr>
      <w:tblGrid>
        <w:gridCol w:w="842"/>
        <w:gridCol w:w="1030"/>
        <w:gridCol w:w="2808"/>
        <w:gridCol w:w="2246"/>
        <w:gridCol w:w="1498"/>
        <w:gridCol w:w="936"/>
      </w:tblGrid>
      <w:tr>
        <w:trPr>
          <w:tblHeader/>
        </w:trPr>
        <w:tc>
          <w:tcPr>
            <w:tcW w:type="dxa" w:w="842"/>
          </w:tcPr>
          <w:p>
            <w:pPr>
              <w:spacing w:before="20" w:after="20" w:line="254" w:lineRule="auto"/>
            </w:pPr>
            <w:r>
              <w:rPr>
                <w:rFonts w:ascii="Carlito" w:hAnsi="Carlito"/>
                <w:b/>
                <w:i w:val="0"/>
                <w:color w:val="FFFFFF"/>
                <w:sz w:val="19"/>
              </w:rPr>
              <w:t>Version</w:t>
            </w:r>
          </w:p>
        </w:tc>
        <w:tc>
          <w:tcPr>
            <w:tcW w:type="dxa" w:w="1030"/>
          </w:tcPr>
          <w:p>
            <w:pPr>
              <w:spacing w:before="20" w:after="20" w:line="254" w:lineRule="auto"/>
            </w:pPr>
            <w:r>
              <w:rPr>
                <w:rFonts w:ascii="Carlito" w:hAnsi="Carlito"/>
                <w:b/>
                <w:i w:val="0"/>
                <w:color w:val="FFFFFF"/>
                <w:sz w:val="19"/>
              </w:rPr>
              <w:t>Date</w:t>
            </w:r>
          </w:p>
        </w:tc>
        <w:tc>
          <w:tcPr>
            <w:tcW w:type="dxa" w:w="2808"/>
          </w:tcPr>
          <w:p>
            <w:pPr>
              <w:spacing w:before="20" w:after="20" w:line="254" w:lineRule="auto"/>
            </w:pPr>
            <w:r>
              <w:rPr>
                <w:rFonts w:ascii="Carlito" w:hAnsi="Carlito"/>
                <w:b/>
                <w:i w:val="0"/>
                <w:color w:val="FFFFFF"/>
                <w:sz w:val="19"/>
              </w:rPr>
              <w:t>Amendment</w:t>
            </w:r>
          </w:p>
        </w:tc>
        <w:tc>
          <w:tcPr>
            <w:tcW w:type="dxa" w:w="2246"/>
          </w:tcPr>
          <w:p>
            <w:pPr>
              <w:spacing w:before="20" w:after="20" w:line="254" w:lineRule="auto"/>
            </w:pPr>
            <w:r>
              <w:rPr>
                <w:rFonts w:ascii="Carlito" w:hAnsi="Carlito"/>
                <w:b/>
                <w:i w:val="0"/>
                <w:color w:val="FFFFFF"/>
                <w:sz w:val="19"/>
              </w:rPr>
              <w:t>Reason</w:t>
            </w:r>
          </w:p>
        </w:tc>
        <w:tc>
          <w:tcPr>
            <w:tcW w:type="dxa" w:w="1498"/>
          </w:tcPr>
          <w:p>
            <w:pPr>
              <w:spacing w:before="20" w:after="20" w:line="254" w:lineRule="auto"/>
            </w:pPr>
            <w:r>
              <w:rPr>
                <w:rFonts w:ascii="Carlito" w:hAnsi="Carlito"/>
                <w:b/>
                <w:i w:val="0"/>
                <w:color w:val="FFFFFF"/>
                <w:sz w:val="19"/>
              </w:rPr>
              <w:t>Made before or after data were seen?</w:t>
            </w:r>
          </w:p>
        </w:tc>
        <w:tc>
          <w:tcPr>
            <w:tcW w:type="dxa" w:w="936"/>
          </w:tcPr>
          <w:p>
            <w:pPr>
              <w:spacing w:before="20" w:after="20" w:line="254" w:lineRule="auto"/>
            </w:pPr>
            <w:r>
              <w:rPr>
                <w:rFonts w:ascii="Carlito" w:hAnsi="Carlito"/>
                <w:b/>
                <w:i w:val="0"/>
                <w:color w:val="FFFFFF"/>
                <w:sz w:val="19"/>
              </w:rPr>
              <w:t>Approved by</w:t>
            </w:r>
          </w:p>
        </w:tc>
      </w:tr>
      <w:tr>
        <w:tc>
          <w:tcPr>
            <w:tcW w:type="dxa" w:w="842"/>
          </w:tcPr>
          <w:p>
            <w:pPr>
              <w:spacing w:before="20" w:after="20" w:line="254" w:lineRule="auto"/>
            </w:pPr>
          </w:p>
        </w:tc>
        <w:tc>
          <w:tcPr>
            <w:tcW w:type="dxa" w:w="1030"/>
          </w:tcPr>
          <w:p>
            <w:pPr>
              <w:spacing w:before="20" w:after="20" w:line="254" w:lineRule="auto"/>
            </w:pPr>
          </w:p>
        </w:tc>
        <w:tc>
          <w:tcPr>
            <w:tcW w:type="dxa" w:w="2808"/>
          </w:tcPr>
          <w:p>
            <w:pPr>
              <w:spacing w:before="20" w:after="20" w:line="254" w:lineRule="auto"/>
            </w:pPr>
          </w:p>
        </w:tc>
        <w:tc>
          <w:tcPr>
            <w:tcW w:type="dxa" w:w="2246"/>
          </w:tcPr>
          <w:p>
            <w:pPr>
              <w:spacing w:before="20" w:after="20" w:line="254" w:lineRule="auto"/>
            </w:pPr>
          </w:p>
        </w:tc>
        <w:tc>
          <w:tcPr>
            <w:tcW w:type="dxa" w:w="1498"/>
          </w:tcPr>
          <w:p>
            <w:pPr>
              <w:spacing w:before="20" w:after="20" w:line="254" w:lineRule="auto"/>
            </w:pPr>
          </w:p>
        </w:tc>
        <w:tc>
          <w:tcPr>
            <w:tcW w:type="dxa" w:w="936"/>
          </w:tcPr>
          <w:p>
            <w:pPr>
              <w:spacing w:before="20" w:after="20" w:line="254" w:lineRule="auto"/>
            </w:pPr>
          </w:p>
        </w:tc>
      </w:tr>
      <w:tr>
        <w:tc>
          <w:tcPr>
            <w:tcW w:type="dxa" w:w="842"/>
          </w:tcPr>
          <w:p>
            <w:pPr>
              <w:spacing w:before="20" w:after="20" w:line="254" w:lineRule="auto"/>
            </w:pPr>
          </w:p>
        </w:tc>
        <w:tc>
          <w:tcPr>
            <w:tcW w:type="dxa" w:w="1030"/>
          </w:tcPr>
          <w:p>
            <w:pPr>
              <w:spacing w:before="20" w:after="20" w:line="254" w:lineRule="auto"/>
            </w:pPr>
          </w:p>
        </w:tc>
        <w:tc>
          <w:tcPr>
            <w:tcW w:type="dxa" w:w="2808"/>
          </w:tcPr>
          <w:p>
            <w:pPr>
              <w:spacing w:before="20" w:after="20" w:line="254" w:lineRule="auto"/>
            </w:pPr>
          </w:p>
        </w:tc>
        <w:tc>
          <w:tcPr>
            <w:tcW w:type="dxa" w:w="2246"/>
          </w:tcPr>
          <w:p>
            <w:pPr>
              <w:spacing w:before="20" w:after="20" w:line="254" w:lineRule="auto"/>
            </w:pPr>
          </w:p>
        </w:tc>
        <w:tc>
          <w:tcPr>
            <w:tcW w:type="dxa" w:w="1498"/>
          </w:tcPr>
          <w:p>
            <w:pPr>
              <w:spacing w:before="20" w:after="20" w:line="254" w:lineRule="auto"/>
            </w:pPr>
          </w:p>
        </w:tc>
        <w:tc>
          <w:tcPr>
            <w:tcW w:type="dxa" w:w="936"/>
          </w:tcPr>
          <w:p>
            <w:pPr>
              <w:spacing w:before="20" w:after="20" w:line="254" w:lineRule="auto"/>
            </w:pPr>
          </w:p>
        </w:tc>
      </w:tr>
      <w:tr>
        <w:tc>
          <w:tcPr>
            <w:tcW w:type="dxa" w:w="842"/>
          </w:tcPr>
          <w:p>
            <w:pPr>
              <w:spacing w:before="20" w:after="20" w:line="254" w:lineRule="auto"/>
            </w:pPr>
          </w:p>
        </w:tc>
        <w:tc>
          <w:tcPr>
            <w:tcW w:type="dxa" w:w="1030"/>
          </w:tcPr>
          <w:p>
            <w:pPr>
              <w:spacing w:before="20" w:after="20" w:line="254" w:lineRule="auto"/>
            </w:pPr>
          </w:p>
        </w:tc>
        <w:tc>
          <w:tcPr>
            <w:tcW w:type="dxa" w:w="2808"/>
          </w:tcPr>
          <w:p>
            <w:pPr>
              <w:spacing w:before="20" w:after="20" w:line="254" w:lineRule="auto"/>
            </w:pPr>
          </w:p>
        </w:tc>
        <w:tc>
          <w:tcPr>
            <w:tcW w:type="dxa" w:w="2246"/>
          </w:tcPr>
          <w:p>
            <w:pPr>
              <w:spacing w:before="20" w:after="20" w:line="254" w:lineRule="auto"/>
            </w:pPr>
          </w:p>
        </w:tc>
        <w:tc>
          <w:tcPr>
            <w:tcW w:type="dxa" w:w="1498"/>
          </w:tcPr>
          <w:p>
            <w:pPr>
              <w:spacing w:before="20" w:after="20" w:line="254" w:lineRule="auto"/>
            </w:pPr>
          </w:p>
        </w:tc>
        <w:tc>
          <w:tcPr>
            <w:tcW w:type="dxa" w:w="936"/>
          </w:tcPr>
          <w:p>
            <w:pPr>
              <w:spacing w:before="20" w:after="20" w:line="254" w:lineRule="auto"/>
            </w:pPr>
          </w:p>
        </w:tc>
      </w:tr>
      <w:tr>
        <w:tc>
          <w:tcPr>
            <w:tcW w:type="dxa" w:w="842"/>
          </w:tcPr>
          <w:p>
            <w:pPr>
              <w:spacing w:before="20" w:after="20" w:line="254" w:lineRule="auto"/>
            </w:pPr>
          </w:p>
        </w:tc>
        <w:tc>
          <w:tcPr>
            <w:tcW w:type="dxa" w:w="1030"/>
          </w:tcPr>
          <w:p>
            <w:pPr>
              <w:spacing w:before="20" w:after="20" w:line="254" w:lineRule="auto"/>
            </w:pPr>
          </w:p>
        </w:tc>
        <w:tc>
          <w:tcPr>
            <w:tcW w:type="dxa" w:w="2808"/>
          </w:tcPr>
          <w:p>
            <w:pPr>
              <w:spacing w:before="20" w:after="20" w:line="254" w:lineRule="auto"/>
            </w:pPr>
          </w:p>
        </w:tc>
        <w:tc>
          <w:tcPr>
            <w:tcW w:type="dxa" w:w="2246"/>
          </w:tcPr>
          <w:p>
            <w:pPr>
              <w:spacing w:before="20" w:after="20" w:line="254" w:lineRule="auto"/>
            </w:pPr>
          </w:p>
        </w:tc>
        <w:tc>
          <w:tcPr>
            <w:tcW w:type="dxa" w:w="1498"/>
          </w:tcPr>
          <w:p>
            <w:pPr>
              <w:spacing w:before="20" w:after="20" w:line="254" w:lineRule="auto"/>
            </w:pPr>
          </w:p>
        </w:tc>
        <w:tc>
          <w:tcPr>
            <w:tcW w:type="dxa" w:w="936"/>
          </w:tcPr>
          <w:p>
            <w:pPr>
              <w:spacing w:before="20" w:after="20" w:line="254" w:lineRule="auto"/>
            </w:pPr>
          </w:p>
        </w:tc>
      </w:tr>
    </w:tbl>
    <w:p>
      <w:pPr>
        <w:spacing w:after="40"/>
      </w:pPr>
    </w:p>
    <w:p>
      <w:pPr>
        <w:pStyle w:val="Prompt"/>
      </w:pPr>
      <w:r>
        <w:t>The last column is the one a reviewer reads first. An amendment made after the data were seen is not illegitimate; an amendment made after the data were seen and recorded as if it were made before is.</w:t>
      </w:r>
    </w:p>
    <w:p>
      <w:pPr>
        <w:spacing w:before="40" w:after="160"/>
        <w:pBdr>
          <w:bottom w:val="single" w:sz="6" w:space="1" w:color="9FBAC0"/>
        </w:pBdr>
      </w:pPr>
    </w:p>
    <w:p>
      <w:r>
        <w:rPr>
          <w:rFonts w:ascii="Carlito" w:hAnsi="Carlito"/>
          <w:i/>
          <w:color w:val="4A5B63"/>
          <w:sz w:val="18"/>
        </w:rPr>
        <w:t>This template is educational. It does not replace applicable law, current regulatory guidance, medical judgment, or company procedures. Adapt it to your own procedures before use.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rlito" w:hAnsi="Carlito"/>
        <w:color w:val="4A5B63"/>
        <w:sz w:val="16"/>
      </w:rPr>
      <w:t>T-07 Signal Assessment Protocol · Signal Management in Pharmacovigilance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9" w:lineRule="auto"/>
    </w:pPr>
    <w:rPr>
      <w:rFonts w:ascii="Carlito" w:hAnsi="Carlito" w:cs="Carlito" w:eastAsia="Carlito"/>
      <w:color w:val="1E2A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keepNext/>
    </w:pPr>
    <w:rPr>
      <w:rFonts w:asciiTheme="majorHAnsi" w:eastAsiaTheme="majorEastAsia" w:hAnsiTheme="majorHAnsi" w:cstheme="majorBidi" w:ascii="Caladea" w:hAnsi="Caladea" w:cs="Caladea" w:eastAsia="Caladea"/>
      <w:b/>
      <w:bCs/>
      <w:color w:val="1F5661"/>
      <w:sz w:val="29"/>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keepNext/>
    </w:pPr>
    <w:rPr>
      <w:rFonts w:asciiTheme="majorHAnsi" w:eastAsiaTheme="majorEastAsia" w:hAnsiTheme="majorHAnsi" w:cstheme="majorBidi" w:ascii="Caladea" w:hAnsi="Caladea" w:cs="Caladea" w:eastAsia="Caladea"/>
      <w:b/>
      <w:bCs/>
      <w:color w:val="1F5661"/>
      <w:sz w:val="24"/>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keepNext/>
    </w:pPr>
    <w:rPr>
      <w:rFonts w:asciiTheme="majorHAnsi" w:eastAsiaTheme="majorEastAsia" w:hAnsiTheme="majorHAnsi" w:cstheme="majorBidi" w:ascii="Caladea" w:hAnsi="Caladea" w:cs="Caladea" w:eastAsia="Caladea"/>
      <w:b/>
      <w:bCs/>
      <w:color w:val="1F566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before="0"/>
      <w:contextualSpacing/>
    </w:pPr>
    <w:rPr>
      <w:rFonts w:asciiTheme="majorHAnsi" w:eastAsiaTheme="majorEastAsia" w:hAnsiTheme="majorHAnsi" w:cstheme="majorBidi" w:ascii="Caladea" w:hAnsi="Caladea" w:cs="Caladea" w:eastAsia="Caladea"/>
      <w:b/>
      <w:color w:val="1F5661"/>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
    <w:name w:val="Prompt"/>
    <w:basedOn w:val="Normal"/>
    <w:pPr>
      <w:spacing w:before="0" w:after="140"/>
    </w:pPr>
    <w:rPr>
      <w:rFonts w:ascii="Carlito" w:hAnsi="Carlito" w:cs="Carlito" w:eastAsia="Carlito"/>
      <w:i/>
      <w:color w:val="4A5B63"/>
      <w:sz w:val="19"/>
    </w:rPr>
  </w:style>
  <w:style w:type="paragraph" w:customStyle="1" w:styleId="SubtleNote">
    <w:name w:val="SubtleNote"/>
    <w:basedOn w:val="Normal"/>
    <w:pPr>
      <w:spacing w:before="0" w:after="100"/>
    </w:pPr>
    <w:rPr>
      <w:rFonts w:ascii="Carlito" w:hAnsi="Carlito" w:cs="Carlito" w:eastAsia="Carlito"/>
      <w:color w:val="4A5B63"/>
      <w:sz w:val="19"/>
    </w:rPr>
  </w:style>
  <w:style w:type="table" w:styleId="ToolkitTable">
    <w:name w:val="Toolkit Table"/>
    <w:basedOn w:val="TableNormal"/>
    <w:uiPriority w:val="59"/>
    <w:qFormat/>
    <w:rPr>
      <w:rFonts w:ascii="Carlito" w:hAnsi="Carlito" w:cs="Carlito"/>
      <w:color w:val="1E2A32"/>
      <w:sz w:val="19"/>
    </w:rPr>
    <w:tblPr>
      <w:tblStyleRowBandSize w:val="1"/>
      <w:tblBorders>
        <w:top w:val="single" w:sz="4" w:space="0" w:color="9FBAC0"/>
        <w:left w:val="single" w:sz="4" w:space="0" w:color="9FBAC0"/>
        <w:bottom w:val="single" w:sz="4" w:space="0" w:color="9FBAC0"/>
        <w:right w:val="single" w:sz="4" w:space="0" w:color="9FBAC0"/>
        <w:insideH w:val="single" w:sz="4" w:space="0" w:color="9FBAC0"/>
        <w:insideV w:val="single" w:sz="4" w:space="0" w:color="9FBAC0"/>
      </w:tblBorders>
      <w:tblCellMar>
        <w:top w:w="72" w:type="dxa"/>
        <w:left w:w="101" w:type="dxa"/>
        <w:bottom w:w="72" w:type="dxa"/>
        <w:right w:w="101" w:type="dxa"/>
      </w:tblCellMar>
    </w:tblPr>
    <w:tblStylePr w:type="firstRow">
      <w:pPr>
        <w:keepNext/>
        <w:spacing w:before="20" w:after="20"/>
      </w:pPr>
      <w:rPr>
        <w:rFonts w:ascii="Carlito" w:hAnsi="Carlito"/>
        <w:b/>
        <w:color w:val="FFFFFF"/>
      </w:rPr>
      <w:tcPr>
        <w:shd w:val="clear" w:color="auto" w:fill="1F5661"/>
      </w:tcPr>
    </w:tblStylePr>
    <w:tblStylePr w:type="band1Horz">
      <w:tcPr>
        <w:shd w:val="clear" w:color="auto" w:fill="E8EFE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