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T-08 — MedDRA Search and Case-Definition Worksheet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Complete once per analysis, before the retrieval is run, and file it with the output. Record deviations as they occur rather than at the end.</w:t>
      </w:r>
    </w:p>
    <w:p>
      <w:r>
        <w:t>The purpose is not tidiness. It is the record that lets a second reviewer, an auditor, or an inspector reconstruct the case set two years later without relying on anyone's memory.</w:t>
      </w:r>
    </w:p>
    <w:p>
      <w:pPr>
        <w:pStyle w:val="SubtleNote"/>
      </w:pPr>
      <w:r>
        <w:t>MedDRA versions release on 1 March (x.0) and 1 September (x.1). Use the version current at the time of your analysis and state it in every output. As of MedDRA 29.0 there were 110 SMQ topics at level 1 and 230 individual SMQs counting subordinates; verify against meddra.org for your version.</w:t>
      </w:r>
    </w:p>
    <w:p>
      <w:pPr>
        <w:pStyle w:val="Heading1"/>
      </w:pPr>
      <w:r>
        <w:t>1. Coding scope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MedDRA version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Version number and release date, as applied to this retrieval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If the database was recoded between the search and the analysis, say so and state which version the counts belong to.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Clinical concept, written out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medical entity in words, before any term is selected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Write this first. A term list assembled before the concept is a coding exercise, not a case definition.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Term list attached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Every preferred term included, with the rationale for each inclusion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Attach as an appendix, not as a description. 'Relevant hepatic terms' is not a term list.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Deliberate exclusions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Every term considered and rejected, with the reason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exclusions are what a second reviewer will question. Record them at the time.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Hierarchy level used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PT, LLT, HLT, HLGT or SOC, and why that level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SMQ used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SMQ name, and narrow or broad specified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Narrow gives specificity; broad is narrow plus broad combined and gives sensitivity. State which you ran and why.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Hierarchical or algorithmic SMQ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the SMQ has subordinate sub-SMQs, and whether algorithmic rules apply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Algorithmic SMQs must be executed as published. Note that the SMQ hierarchy is independent of the standard MedDRA hierarchy.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2. Product mapping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Active moiety defined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moiety as the analysis will treat it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Trade names, salts, combinations, formulations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Mapped and verified across every market in scope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 market where the brand differs and was not mapped is a silent under-retrieval.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Drug roles included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Suspect, interacting, concomitant — stated explicitly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Including concomitant roles usually raises both cells of a disproportionality table. Decide before, not after.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Device or presentation component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Where the hypothesis concerns a device, presentation, batch or supplier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3. Duplicate review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Methods named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Deterministic and probabilistic methods used (for example vigiMatch-style probabilistic matching)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Linkage rule stated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rule by which two records are judged to be the same patient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records retained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Linked, not deleted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 deleted duplicate cannot be re-examined when the linkage rule is questioned.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Duplicates removed, by type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Counts: follow-up versions, literature duplicates, cross-source duplicates, other version pairs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Give the counts by type. Example: 73 reports → 59 unique cases after 9 follow-up versions and 5 literature or spontaneous duplicates.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4. Case versions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Version selection rule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version of a case is analyzed, and why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Superseded versions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Identified and excluded from counting, but retained in the record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5. Missing dates and fields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Missingness tabulated by 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 count of missing values for every field the analysis uses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Tabulate before analyzing. Missingness discovered afterwards tends to be described rather than handled.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Imputation hierarchy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rules, by completeness level, applied uniformly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Imputation flag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field that marks an imputed value in every output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Sensitivity analysis without imputed values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Planned, and its expected effect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6. Case inclusion rules, specified in advance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808"/>
        <w:gridCol w:w="1685"/>
        <w:gridCol w:w="2808"/>
        <w:gridCol w:w="2059"/>
      </w:tblGrid>
      <w:tr>
        <w:trPr>
          <w:tblHeader/>
        </w:trP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Rationale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Planned sensitivity analysis</w:t>
            </w: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Medical confirmation required?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Consumer reports included?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Foreign cases included?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Nonserious cases included?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Unassessable cases: counted, or set aside?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Set aside is not the same as excluded, and neither is the same as negative.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Risk window applied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Literature cases included?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Study cases included?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7. Source reconciliation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Reconciled against the safety database of record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Counts compared, date of comparison, discrepancy explained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Reconciled against literature inflow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Counts compared and discrepancy explained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Reconciled against partner inflows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Per agreement, counts compared and discrepancy explained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8. Exposure denominator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Metric named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Patients, patient-years, doses, units distributed, defined daily doses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Derivation shown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arithmetic, not the result alone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An exposure figure without its derivation cannot be checked, and will be quoted for years.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Assumptions stated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Adherence, duration of therapy, wastage, market coverage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Prohibition recorded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sentence that this denominator must not be used to present a reporting rate as an incidence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Required entry. Reporting rates and disproportionality measures do not measure risk, incidence, or comparative safety.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9. Frozen data cut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Cut date and time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Fixed, and stated in every output produced from this retrieval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Query code or parameters archived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Where, and under what reference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Re-runs after the cut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Identified as such, with their own date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10. Case definition for adjudication</w:t>
      </w:r>
    </w:p>
    <w:p>
      <w:r>
        <w:t>The retrieval definition finds candidate reports. The adjudication definition decides which of them are cases. They are different, and both belong in the record.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Entry criteria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Laboratory, clinical or imaging criteria with thresholds, units and the ULN used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Example: ALT ≥ 5× ULN, or ALT ≥ 3× ULN with total bilirubin &gt; 2× ULN, plus exclusion of alternatives.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Phenotype classification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derived quantity and its cut-points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Example: R = (ALT ÷ ULN) ÷ (ALP ÷ ULN); R ≥ 5 hepatocellular, ≤ 2 cholestatic, 2–5 mixed. Where a component is missing, R is not computable — a distinct category, not a default.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Severity grading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scale used and its source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Graded certainty levels, where applicable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For example a Brighton-style level 1–3 definition, with the level used in the primary analysis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Primary analysis on the higher-certainty levels; lower levels enter sensitivity analyses.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Exclusions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Each alternative cause that disqualifies a case, and the evidence required to apply it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'Not assessed' is not 'absent'. Record which.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Adjudicator and second adjudicator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Names, the sample re-adjudicated independently, and the disagreement rate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11. Selection flow</w:t>
      </w:r>
    </w:p>
    <w:p>
      <w:r>
        <w:t>Record a number at every step. Every count in the flow must reconcile with the line listing.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3370"/>
        <w:gridCol w:w="1123"/>
        <w:gridCol w:w="4867"/>
      </w:tblGrid>
      <w:tr>
        <w:trPr>
          <w:tblHeader/>
        </w:trP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Count</w:t>
            </w: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was removed at this step, and why</w:t>
            </w:r>
          </w:p>
        </w:tc>
      </w:tr>
      <w:t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Reports retrieved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Unique cases after duplicate management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Cases meeting entry criteria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Cases classifiable by phenotype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Cases with no strong alternative cause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37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Cases in the primary analysis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486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Prompt"/>
      </w:pPr>
      <w:r>
        <w:t>Worked example of a reportable flow: 73 → 59 → 12 → 7 → 5. Each arrow is a decision with a rule behind it, and the same flow must be reported identically wherever the series appears.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Worksheet completed by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Name, role, date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Checked by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Name, role, date — someone who did not build the retrieval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T-08 MedDRA Search and Case-Definition Worksheet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