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T-09 — Case-Series Line Listing Guide and QC Checklist</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Use the three parts in sequence: adjudication guide per case, line-listing specification, then quality control by a second reviewer before release.</w:t>
      </w:r>
    </w:p>
    <w:p>
      <w:r>
        <w:t>The parts are separated because they fail separately. The adjudication guide is completed case by case and retained with the case, so a series can be reconstructed years later by someone who never met the team. The line-listing specification is a format contract, and its value appears at the next data cut, when a series built to the same specification can be compared with this one row by row rather than re-derived. The quality-control section is completed by someone who did not build the series, because the checks it contains are the ones an author cannot perform on his own work.</w:t>
      </w:r>
    </w:p>
    <w:p>
      <w:pPr>
        <w:pStyle w:val="SubtleNote"/>
      </w:pPr>
      <w:r>
        <w:t>The thresholds shown in the worked examples are those of an illustrative hepatic assessment, not a regulatory requirement. Substitute the criteria your protocol defines.</w:t>
      </w:r>
    </w:p>
    <w:p>
      <w:pPr>
        <w:pStyle w:val="Heading1"/>
      </w:pPr>
      <w:r>
        <w:t>Part A — Adjudication guide (one per case)</w:t>
      </w:r>
    </w:p>
    <w:tbl>
      <w:tblPr>
        <w:tblStyle w:val="ToolkitTable"/>
        <w:tblW w:type="auto" w:w="0"/>
        <w:jc w:val="left"/>
        <w:tblLayout w:type="fixed"/>
        <w:tblLook w:val="04A0" w:firstRow="1" w:lastRow="0" w:firstColumn="0" w:lastColumn="0" w:noHBand="0" w:noVBand="1"/>
      </w:tblPr>
      <w:tblGrid>
        <w:gridCol w:w="562"/>
        <w:gridCol w:w="1498"/>
        <w:gridCol w:w="4867"/>
        <w:gridCol w:w="2434"/>
      </w:tblGrid>
      <w:tr>
        <w:trPr>
          <w:tblHeader/>
        </w:trPr>
        <w:tc>
          <w:tcPr>
            <w:tcW w:type="dxa" w:w="562"/>
          </w:tcPr>
          <w:p>
            <w:pPr>
              <w:spacing w:before="20" w:after="20" w:line="254" w:lineRule="auto"/>
            </w:pPr>
            <w:r>
              <w:rPr>
                <w:rFonts w:ascii="Carlito" w:hAnsi="Carlito"/>
                <w:b/>
                <w:i w:val="0"/>
                <w:color w:val="FFFFFF"/>
                <w:sz w:val="19"/>
              </w:rPr>
              <w:t>Step</w:t>
            </w:r>
          </w:p>
        </w:tc>
        <w:tc>
          <w:tcPr>
            <w:tcW w:type="dxa" w:w="1498"/>
          </w:tcPr>
          <w:p>
            <w:pPr>
              <w:spacing w:before="20" w:after="20" w:line="254" w:lineRule="auto"/>
            </w:pPr>
            <w:r>
              <w:rPr>
                <w:rFonts w:ascii="Carlito" w:hAnsi="Carlito"/>
                <w:b/>
                <w:i w:val="0"/>
                <w:color w:val="FFFFFF"/>
                <w:sz w:val="19"/>
              </w:rPr>
              <w:t>Element</w:t>
            </w:r>
          </w:p>
        </w:tc>
        <w:tc>
          <w:tcPr>
            <w:tcW w:type="dxa" w:w="4867"/>
          </w:tcPr>
          <w:p>
            <w:pPr>
              <w:spacing w:before="20" w:after="20" w:line="254" w:lineRule="auto"/>
            </w:pPr>
            <w:r>
              <w:rPr>
                <w:rFonts w:ascii="Carlito" w:hAnsi="Carlito"/>
                <w:b/>
                <w:i w:val="0"/>
                <w:color w:val="FFFFFF"/>
                <w:sz w:val="19"/>
              </w:rPr>
              <w:t>What the reviewer records</w:t>
            </w:r>
          </w:p>
        </w:tc>
        <w:tc>
          <w:tcPr>
            <w:tcW w:type="dxa" w:w="2434"/>
          </w:tcPr>
          <w:p>
            <w:pPr>
              <w:spacing w:before="20" w:after="20" w:line="254" w:lineRule="auto"/>
            </w:pPr>
            <w:r>
              <w:rPr>
                <w:rFonts w:ascii="Carlito" w:hAnsi="Carlito"/>
                <w:b/>
                <w:i w:val="0"/>
                <w:color w:val="FFFFFF"/>
                <w:sz w:val="19"/>
              </w:rPr>
              <w:t>Entry</w:t>
            </w:r>
          </w:p>
        </w:tc>
      </w:tr>
      <w:tr>
        <w:tc>
          <w:tcPr>
            <w:tcW w:type="dxa" w:w="562"/>
          </w:tcPr>
          <w:p>
            <w:pPr>
              <w:spacing w:before="20" w:after="20" w:line="254" w:lineRule="auto"/>
            </w:pPr>
            <w:r>
              <w:rPr>
                <w:rFonts w:ascii="Carlito" w:hAnsi="Carlito"/>
                <w:b w:val="0"/>
                <w:i w:val="0"/>
                <w:sz w:val="19"/>
              </w:rPr>
              <w:t>A1</w:t>
            </w:r>
          </w:p>
        </w:tc>
        <w:tc>
          <w:tcPr>
            <w:tcW w:type="dxa" w:w="1498"/>
          </w:tcPr>
          <w:p>
            <w:pPr>
              <w:spacing w:before="20" w:after="20" w:line="254" w:lineRule="auto"/>
            </w:pPr>
            <w:r>
              <w:rPr>
                <w:rFonts w:ascii="Carlito" w:hAnsi="Carlito"/>
                <w:b w:val="0"/>
                <w:i w:val="0"/>
                <w:sz w:val="19"/>
              </w:rPr>
              <w:t>Unique case</w:t>
            </w:r>
          </w:p>
        </w:tc>
        <w:tc>
          <w:tcPr>
            <w:tcW w:type="dxa" w:w="4867"/>
          </w:tcPr>
          <w:p>
            <w:pPr>
              <w:spacing w:before="20" w:after="20" w:line="254" w:lineRule="auto"/>
            </w:pPr>
            <w:r>
              <w:rPr>
                <w:rFonts w:ascii="Carlito" w:hAnsi="Carlito"/>
                <w:b w:val="0"/>
                <w:i w:val="0"/>
                <w:sz w:val="19"/>
              </w:rPr>
              <w:t>Case identifier, merged record numbers, matching fields, residual doubt</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A2</w:t>
            </w:r>
          </w:p>
        </w:tc>
        <w:tc>
          <w:tcPr>
            <w:tcW w:type="dxa" w:w="1498"/>
          </w:tcPr>
          <w:p>
            <w:pPr>
              <w:spacing w:before="20" w:after="20" w:line="254" w:lineRule="auto"/>
            </w:pPr>
            <w:r>
              <w:rPr>
                <w:rFonts w:ascii="Carlito" w:hAnsi="Carlito"/>
                <w:b w:val="0"/>
                <w:i w:val="0"/>
                <w:sz w:val="19"/>
              </w:rPr>
              <w:t>Entry criteria</w:t>
            </w:r>
          </w:p>
        </w:tc>
        <w:tc>
          <w:tcPr>
            <w:tcW w:type="dxa" w:w="4867"/>
          </w:tcPr>
          <w:p>
            <w:pPr>
              <w:spacing w:before="20" w:after="20" w:line="254" w:lineRule="auto"/>
            </w:pPr>
            <w:r>
              <w:rPr>
                <w:rFonts w:ascii="Carlito" w:hAnsi="Carlito"/>
                <w:b w:val="0"/>
                <w:i w:val="0"/>
                <w:sz w:val="19"/>
              </w:rPr>
              <w:t>Which laboratory or clinical criterion is met, with values and the ULN used</w:t>
            </w:r>
          </w:p>
          <w:p>
            <w:pPr>
              <w:spacing w:before="20" w:after="20" w:line="254" w:lineRule="auto"/>
            </w:pPr>
            <w:r>
              <w:rPr>
                <w:rFonts w:ascii="Carlito" w:hAnsi="Carlito"/>
                <w:b w:val="0"/>
                <w:i/>
                <w:color w:val="4A5B63"/>
                <w:sz w:val="17"/>
              </w:rPr>
              <w:t>Values as measured and as ULN multiples. Both.</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A3</w:t>
            </w:r>
          </w:p>
        </w:tc>
        <w:tc>
          <w:tcPr>
            <w:tcW w:type="dxa" w:w="1498"/>
          </w:tcPr>
          <w:p>
            <w:pPr>
              <w:spacing w:before="20" w:after="20" w:line="254" w:lineRule="auto"/>
            </w:pPr>
            <w:r>
              <w:rPr>
                <w:rFonts w:ascii="Carlito" w:hAnsi="Carlito"/>
                <w:b w:val="0"/>
                <w:i w:val="0"/>
                <w:sz w:val="19"/>
              </w:rPr>
              <w:t>Phenotype</w:t>
            </w:r>
          </w:p>
        </w:tc>
        <w:tc>
          <w:tcPr>
            <w:tcW w:type="dxa" w:w="4867"/>
          </w:tcPr>
          <w:p>
            <w:pPr>
              <w:spacing w:before="20" w:after="20" w:line="254" w:lineRule="auto"/>
            </w:pPr>
            <w:r>
              <w:rPr>
                <w:rFonts w:ascii="Carlito" w:hAnsi="Carlito"/>
                <w:b w:val="0"/>
                <w:i w:val="0"/>
                <w:sz w:val="19"/>
              </w:rPr>
              <w:t>Component values as ULN multiples; the derived ratio; the classification, or 'not computable'</w:t>
            </w:r>
          </w:p>
          <w:p>
            <w:pPr>
              <w:spacing w:before="20" w:after="20" w:line="254" w:lineRule="auto"/>
            </w:pPr>
            <w:r>
              <w:rPr>
                <w:rFonts w:ascii="Carlito" w:hAnsi="Carlito"/>
                <w:b w:val="0"/>
                <w:i/>
                <w:color w:val="4A5B63"/>
                <w:sz w:val="17"/>
              </w:rPr>
              <w:t>Not computable is a category carried through every count, not a blank.</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A4</w:t>
            </w:r>
          </w:p>
        </w:tc>
        <w:tc>
          <w:tcPr>
            <w:tcW w:type="dxa" w:w="1498"/>
          </w:tcPr>
          <w:p>
            <w:pPr>
              <w:spacing w:before="20" w:after="20" w:line="254" w:lineRule="auto"/>
            </w:pPr>
            <w:r>
              <w:rPr>
                <w:rFonts w:ascii="Carlito" w:hAnsi="Carlito"/>
                <w:b w:val="0"/>
                <w:i w:val="0"/>
                <w:sz w:val="19"/>
              </w:rPr>
              <w:t>Temporal fit</w:t>
            </w:r>
          </w:p>
        </w:tc>
        <w:tc>
          <w:tcPr>
            <w:tcW w:type="dxa" w:w="4867"/>
          </w:tcPr>
          <w:p>
            <w:pPr>
              <w:spacing w:before="20" w:after="20" w:line="254" w:lineRule="auto"/>
            </w:pPr>
            <w:r>
              <w:rPr>
                <w:rFonts w:ascii="Carlito" w:hAnsi="Carlito"/>
                <w:b w:val="0"/>
                <w:i w:val="0"/>
                <w:sz w:val="19"/>
              </w:rPr>
              <w:t>Start date, onset date, time to onset, whether treatment was ongoing at onset, dose changes</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A5</w:t>
            </w:r>
          </w:p>
        </w:tc>
        <w:tc>
          <w:tcPr>
            <w:tcW w:type="dxa" w:w="1498"/>
          </w:tcPr>
          <w:p>
            <w:pPr>
              <w:spacing w:before="20" w:after="20" w:line="254" w:lineRule="auto"/>
            </w:pPr>
            <w:r>
              <w:rPr>
                <w:rFonts w:ascii="Carlito" w:hAnsi="Carlito"/>
                <w:b w:val="0"/>
                <w:i w:val="0"/>
                <w:sz w:val="19"/>
              </w:rPr>
              <w:t>Alternative causes</w:t>
            </w:r>
          </w:p>
        </w:tc>
        <w:tc>
          <w:tcPr>
            <w:tcW w:type="dxa" w:w="4867"/>
          </w:tcPr>
          <w:p>
            <w:pPr>
              <w:spacing w:before="20" w:after="20" w:line="254" w:lineRule="auto"/>
            </w:pPr>
            <w:r>
              <w:rPr>
                <w:rFonts w:ascii="Carlito" w:hAnsi="Carlito"/>
                <w:b w:val="0"/>
                <w:i w:val="0"/>
                <w:sz w:val="19"/>
              </w:rPr>
              <w:t>Each alternative sought, coded present, absent, or not assessed</w:t>
            </w:r>
          </w:p>
          <w:p>
            <w:pPr>
              <w:spacing w:before="20" w:after="20" w:line="254" w:lineRule="auto"/>
            </w:pPr>
            <w:r>
              <w:rPr>
                <w:rFonts w:ascii="Carlito" w:hAnsi="Carlito"/>
                <w:b w:val="0"/>
                <w:i/>
                <w:color w:val="4A5B63"/>
                <w:sz w:val="17"/>
              </w:rPr>
              <w:t>Three codes, not two. 'Not assessed' must never be recorded as 'absent'.</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A6</w:t>
            </w:r>
          </w:p>
        </w:tc>
        <w:tc>
          <w:tcPr>
            <w:tcW w:type="dxa" w:w="1498"/>
          </w:tcPr>
          <w:p>
            <w:pPr>
              <w:spacing w:before="20" w:after="20" w:line="254" w:lineRule="auto"/>
            </w:pPr>
            <w:r>
              <w:rPr>
                <w:rFonts w:ascii="Carlito" w:hAnsi="Carlito"/>
                <w:b w:val="0"/>
                <w:i w:val="0"/>
                <w:sz w:val="19"/>
              </w:rPr>
              <w:t>Course</w:t>
            </w:r>
          </w:p>
        </w:tc>
        <w:tc>
          <w:tcPr>
            <w:tcW w:type="dxa" w:w="4867"/>
          </w:tcPr>
          <w:p>
            <w:pPr>
              <w:spacing w:before="20" w:after="20" w:line="254" w:lineRule="auto"/>
            </w:pPr>
            <w:r>
              <w:rPr>
                <w:rFonts w:ascii="Carlito" w:hAnsi="Carlito"/>
                <w:b w:val="0"/>
                <w:i w:val="0"/>
                <w:sz w:val="19"/>
              </w:rPr>
              <w:t>Dechallenge done and result; rechallenge done and result; outcome</w:t>
            </w:r>
          </w:p>
          <w:p>
            <w:pPr>
              <w:spacing w:before="20" w:after="20" w:line="254" w:lineRule="auto"/>
            </w:pPr>
            <w:r>
              <w:rPr>
                <w:rFonts w:ascii="Carlito" w:hAnsi="Carlito"/>
                <w:b w:val="0"/>
                <w:i/>
                <w:color w:val="4A5B63"/>
                <w:sz w:val="17"/>
              </w:rPr>
              <w:t>Rechallenge not done is not rechallenge negative. It usually means no clinician was willing to re-expose the patient.</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A7</w:t>
            </w:r>
          </w:p>
        </w:tc>
        <w:tc>
          <w:tcPr>
            <w:tcW w:type="dxa" w:w="1498"/>
          </w:tcPr>
          <w:p>
            <w:pPr>
              <w:spacing w:before="20" w:after="20" w:line="254" w:lineRule="auto"/>
            </w:pPr>
            <w:r>
              <w:rPr>
                <w:rFonts w:ascii="Carlito" w:hAnsi="Carlito"/>
                <w:b w:val="0"/>
                <w:i w:val="0"/>
                <w:sz w:val="19"/>
              </w:rPr>
              <w:t>Assessment</w:t>
            </w:r>
          </w:p>
        </w:tc>
        <w:tc>
          <w:tcPr>
            <w:tcW w:type="dxa" w:w="4867"/>
          </w:tcPr>
          <w:p>
            <w:pPr>
              <w:spacing w:before="20" w:after="20" w:line="254" w:lineRule="auto"/>
            </w:pPr>
            <w:r>
              <w:rPr>
                <w:rFonts w:ascii="Carlito" w:hAnsi="Carlito"/>
                <w:b w:val="0"/>
                <w:i w:val="0"/>
                <w:sz w:val="19"/>
              </w:rPr>
              <w:t>Reviewer classification and reason; reporter causality recorded separately</w:t>
            </w:r>
          </w:p>
          <w:p>
            <w:pPr>
              <w:spacing w:before="20" w:after="20" w:line="254" w:lineRule="auto"/>
            </w:pPr>
            <w:r>
              <w:rPr>
                <w:rFonts w:ascii="Carlito" w:hAnsi="Carlito"/>
                <w:b w:val="0"/>
                <w:i/>
                <w:color w:val="4A5B63"/>
                <w:sz w:val="17"/>
              </w:rPr>
              <w:t>Both are recorded because neither is a corrected version of the other. Concordance at 100% across a series is itself a quality finding.</w:t>
            </w:r>
          </w:p>
        </w:tc>
        <w:tc>
          <w:tcPr>
            <w:tcW w:type="dxa" w:w="2434"/>
          </w:tcPr>
          <w:p>
            <w:pPr>
              <w:spacing w:before="20" w:after="20" w:line="254" w:lineRule="auto"/>
            </w:pPr>
          </w:p>
        </w:tc>
      </w:tr>
    </w:tbl>
    <w:p>
      <w:pPr>
        <w:spacing w:after="40"/>
      </w:pPr>
    </w:p>
    <w:p>
      <w:pPr>
        <w:pStyle w:val="Heading1"/>
      </w:pPr>
      <w:r>
        <w:t>Part B — Line-listing specification</w:t>
      </w:r>
    </w:p>
    <w:p>
      <w:r>
        <w:t>One row per patient, never one per report. Laboratory values as ULN multiples so rows from different laboratories compare. “Not reported” distinguished from “reported as absent” in every field. Wide listings split into linked tables sharing the case identifier. Sort by time to onset and assign identifiers in that order, so the latency pattern is visible in the listing itself and one identifier means one patient throughout the report.</w:t>
      </w:r>
    </w:p>
    <w:p>
      <w:pPr>
        <w:pStyle w:val="Heading2"/>
      </w:pPr>
      <w:r>
        <w:t>B.1 Part 1 — patient and exposure</w:t>
      </w:r>
    </w:p>
    <w:tbl>
      <w:tblPr>
        <w:tblStyle w:val="ToolkitTable"/>
        <w:tblW w:type="auto" w:w="0"/>
        <w:jc w:val="left"/>
        <w:tblLayout w:type="fixed"/>
        <w:tblLook w:val="04A0" w:firstRow="1" w:lastRow="0" w:firstColumn="0" w:lastColumn="0" w:noHBand="0" w:noVBand="1"/>
      </w:tblPr>
      <w:tblGrid>
        <w:gridCol w:w="1310"/>
        <w:gridCol w:w="1498"/>
        <w:gridCol w:w="1498"/>
        <w:gridCol w:w="1498"/>
        <w:gridCol w:w="1872"/>
        <w:gridCol w:w="1685"/>
      </w:tblGrid>
      <w:tr>
        <w:trPr>
          <w:tblHeader/>
        </w:trPr>
        <w:tc>
          <w:tcPr>
            <w:tcW w:type="dxa" w:w="1310"/>
          </w:tcPr>
          <w:p>
            <w:pPr>
              <w:spacing w:before="20" w:after="20" w:line="254" w:lineRule="auto"/>
            </w:pPr>
            <w:r>
              <w:rPr>
                <w:rFonts w:ascii="Carlito" w:hAnsi="Carlito"/>
                <w:b/>
                <w:i w:val="0"/>
                <w:color w:val="FFFFFF"/>
                <w:sz w:val="19"/>
              </w:rPr>
              <w:t>Case</w:t>
            </w:r>
          </w:p>
        </w:tc>
        <w:tc>
          <w:tcPr>
            <w:tcW w:type="dxa" w:w="1498"/>
          </w:tcPr>
          <w:p>
            <w:pPr>
              <w:spacing w:before="20" w:after="20" w:line="254" w:lineRule="auto"/>
            </w:pPr>
            <w:r>
              <w:rPr>
                <w:rFonts w:ascii="Carlito" w:hAnsi="Carlito"/>
                <w:b/>
                <w:i w:val="0"/>
                <w:color w:val="FFFFFF"/>
                <w:sz w:val="19"/>
              </w:rPr>
              <w:t>Age / sex</w:t>
            </w:r>
          </w:p>
        </w:tc>
        <w:tc>
          <w:tcPr>
            <w:tcW w:type="dxa" w:w="1498"/>
          </w:tcPr>
          <w:p>
            <w:pPr>
              <w:spacing w:before="20" w:after="20" w:line="254" w:lineRule="auto"/>
            </w:pPr>
            <w:r>
              <w:rPr>
                <w:rFonts w:ascii="Carlito" w:hAnsi="Carlito"/>
                <w:b/>
                <w:i w:val="0"/>
                <w:color w:val="FFFFFF"/>
                <w:sz w:val="19"/>
              </w:rPr>
              <w:t>Dose</w:t>
            </w:r>
          </w:p>
        </w:tc>
        <w:tc>
          <w:tcPr>
            <w:tcW w:type="dxa" w:w="1498"/>
          </w:tcPr>
          <w:p>
            <w:pPr>
              <w:spacing w:before="20" w:after="20" w:line="254" w:lineRule="auto"/>
            </w:pPr>
            <w:r>
              <w:rPr>
                <w:rFonts w:ascii="Carlito" w:hAnsi="Carlito"/>
                <w:b/>
                <w:i w:val="0"/>
                <w:color w:val="FFFFFF"/>
                <w:sz w:val="19"/>
              </w:rPr>
              <w:t>Onset (days)</w:t>
            </w:r>
          </w:p>
        </w:tc>
        <w:tc>
          <w:tcPr>
            <w:tcW w:type="dxa" w:w="1872"/>
          </w:tcPr>
          <w:p>
            <w:pPr>
              <w:spacing w:before="20" w:after="20" w:line="254" w:lineRule="auto"/>
            </w:pPr>
            <w:r>
              <w:rPr>
                <w:rFonts w:ascii="Carlito" w:hAnsi="Carlito"/>
                <w:b/>
                <w:i w:val="0"/>
                <w:color w:val="FFFFFF"/>
                <w:sz w:val="19"/>
              </w:rPr>
              <w:t>Country</w:t>
            </w:r>
          </w:p>
        </w:tc>
        <w:tc>
          <w:tcPr>
            <w:tcW w:type="dxa" w:w="1685"/>
          </w:tcPr>
          <w:p>
            <w:pPr>
              <w:spacing w:before="20" w:after="20" w:line="254" w:lineRule="auto"/>
            </w:pPr>
            <w:r>
              <w:rPr>
                <w:rFonts w:ascii="Carlito" w:hAnsi="Carlito"/>
                <w:b/>
                <w:i w:val="0"/>
                <w:color w:val="FFFFFF"/>
                <w:sz w:val="19"/>
              </w:rPr>
              <w:t>Report type</w:t>
            </w:r>
          </w:p>
        </w:tc>
      </w:tr>
      <w:tr>
        <w:tc>
          <w:tcPr>
            <w:tcW w:type="dxa" w:w="1310"/>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872"/>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872"/>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872"/>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872"/>
          </w:tcPr>
          <w:p>
            <w:pPr>
              <w:spacing w:before="20" w:after="20" w:line="254" w:lineRule="auto"/>
            </w:pPr>
          </w:p>
        </w:tc>
        <w:tc>
          <w:tcPr>
            <w:tcW w:type="dxa" w:w="1685"/>
          </w:tcPr>
          <w:p>
            <w:pPr>
              <w:spacing w:before="20" w:after="20" w:line="254" w:lineRule="auto"/>
            </w:pPr>
          </w:p>
        </w:tc>
      </w:tr>
    </w:tbl>
    <w:p>
      <w:pPr>
        <w:spacing w:after="40"/>
      </w:pPr>
    </w:p>
    <w:p>
      <w:pPr>
        <w:pStyle w:val="Heading2"/>
      </w:pPr>
      <w:r>
        <w:t>B.2 Part 2 — laboratory criteria and phenotype</w:t>
      </w:r>
    </w:p>
    <w:p>
      <w:pPr>
        <w:pStyle w:val="SubtleNote"/>
      </w:pPr>
      <w:r>
        <w:t>State the ULN values used, in the table heading, in the units of the analysis. NR = not reported; NC = not computable.</w:t>
      </w:r>
    </w:p>
    <w:tbl>
      <w:tblPr>
        <w:tblStyle w:val="ToolkitTable"/>
        <w:tblW w:type="auto" w:w="0"/>
        <w:jc w:val="left"/>
        <w:tblLayout w:type="fixed"/>
        <w:tblLook w:val="04A0" w:firstRow="1" w:lastRow="0" w:firstColumn="0" w:lastColumn="0" w:noHBand="0" w:noVBand="1"/>
      </w:tblPr>
      <w:tblGrid>
        <w:gridCol w:w="1310"/>
        <w:gridCol w:w="1685"/>
        <w:gridCol w:w="1685"/>
        <w:gridCol w:w="1685"/>
        <w:gridCol w:w="1310"/>
        <w:gridCol w:w="1685"/>
      </w:tblGrid>
      <w:tr>
        <w:trPr>
          <w:tblHeader/>
        </w:trPr>
        <w:tc>
          <w:tcPr>
            <w:tcW w:type="dxa" w:w="1310"/>
          </w:tcPr>
          <w:p>
            <w:pPr>
              <w:spacing w:before="20" w:after="20" w:line="254" w:lineRule="auto"/>
            </w:pPr>
            <w:r>
              <w:rPr>
                <w:rFonts w:ascii="Carlito" w:hAnsi="Carlito"/>
                <w:b/>
                <w:i w:val="0"/>
                <w:color w:val="FFFFFF"/>
                <w:sz w:val="19"/>
              </w:rPr>
              <w:t>Case</w:t>
            </w:r>
          </w:p>
        </w:tc>
        <w:tc>
          <w:tcPr>
            <w:tcW w:type="dxa" w:w="1685"/>
          </w:tcPr>
          <w:p>
            <w:pPr>
              <w:spacing w:before="20" w:after="20" w:line="254" w:lineRule="auto"/>
            </w:pPr>
            <w:r>
              <w:rPr>
                <w:rFonts w:ascii="Carlito" w:hAnsi="Carlito"/>
                <w:b/>
                <w:i w:val="0"/>
                <w:color w:val="FFFFFF"/>
                <w:sz w:val="19"/>
              </w:rPr>
              <w:t>Analyte 1 (×ULN)</w:t>
            </w:r>
          </w:p>
        </w:tc>
        <w:tc>
          <w:tcPr>
            <w:tcW w:type="dxa" w:w="1685"/>
          </w:tcPr>
          <w:p>
            <w:pPr>
              <w:spacing w:before="20" w:after="20" w:line="254" w:lineRule="auto"/>
            </w:pPr>
            <w:r>
              <w:rPr>
                <w:rFonts w:ascii="Carlito" w:hAnsi="Carlito"/>
                <w:b/>
                <w:i w:val="0"/>
                <w:color w:val="FFFFFF"/>
                <w:sz w:val="19"/>
              </w:rPr>
              <w:t>Analyte 2 (×ULN)</w:t>
            </w:r>
          </w:p>
        </w:tc>
        <w:tc>
          <w:tcPr>
            <w:tcW w:type="dxa" w:w="1685"/>
          </w:tcPr>
          <w:p>
            <w:pPr>
              <w:spacing w:before="20" w:after="20" w:line="254" w:lineRule="auto"/>
            </w:pPr>
            <w:r>
              <w:rPr>
                <w:rFonts w:ascii="Carlito" w:hAnsi="Carlito"/>
                <w:b/>
                <w:i w:val="0"/>
                <w:color w:val="FFFFFF"/>
                <w:sz w:val="19"/>
              </w:rPr>
              <w:t>Analyte 3 (×ULN)</w:t>
            </w:r>
          </w:p>
        </w:tc>
        <w:tc>
          <w:tcPr>
            <w:tcW w:type="dxa" w:w="1310"/>
          </w:tcPr>
          <w:p>
            <w:pPr>
              <w:spacing w:before="20" w:after="20" w:line="254" w:lineRule="auto"/>
            </w:pPr>
            <w:r>
              <w:rPr>
                <w:rFonts w:ascii="Carlito" w:hAnsi="Carlito"/>
                <w:b/>
                <w:i w:val="0"/>
                <w:color w:val="FFFFFF"/>
                <w:sz w:val="19"/>
              </w:rPr>
              <w:t>Derived ratio</w:t>
            </w:r>
          </w:p>
        </w:tc>
        <w:tc>
          <w:tcPr>
            <w:tcW w:type="dxa" w:w="1685"/>
          </w:tcPr>
          <w:p>
            <w:pPr>
              <w:spacing w:before="20" w:after="20" w:line="254" w:lineRule="auto"/>
            </w:pPr>
            <w:r>
              <w:rPr>
                <w:rFonts w:ascii="Carlito" w:hAnsi="Carlito"/>
                <w:b/>
                <w:i w:val="0"/>
                <w:color w:val="FFFFFF"/>
                <w:sz w:val="19"/>
              </w:rPr>
              <w:t>Phenotype</w:t>
            </w: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r>
    </w:tbl>
    <w:p>
      <w:pPr>
        <w:spacing w:after="40"/>
      </w:pPr>
    </w:p>
    <w:p>
      <w:pPr>
        <w:pStyle w:val="Heading2"/>
      </w:pPr>
      <w:r>
        <w:t>B.3 Part 3 — alternatives, course and assessment</w:t>
      </w:r>
    </w:p>
    <w:tbl>
      <w:tblPr>
        <w:tblStyle w:val="ToolkitTable"/>
        <w:tblW w:type="auto" w:w="0"/>
        <w:jc w:val="left"/>
        <w:tblLayout w:type="fixed"/>
        <w:tblLook w:val="04A0" w:firstRow="1" w:lastRow="0" w:firstColumn="0" w:lastColumn="0" w:noHBand="0" w:noVBand="1"/>
      </w:tblPr>
      <w:tblGrid>
        <w:gridCol w:w="936"/>
        <w:gridCol w:w="2621"/>
        <w:gridCol w:w="1310"/>
        <w:gridCol w:w="1404"/>
        <w:gridCol w:w="1310"/>
        <w:gridCol w:w="1778"/>
      </w:tblGrid>
      <w:tr>
        <w:trPr>
          <w:tblHeader/>
        </w:trPr>
        <w:tc>
          <w:tcPr>
            <w:tcW w:type="dxa" w:w="936"/>
          </w:tcPr>
          <w:p>
            <w:pPr>
              <w:spacing w:before="20" w:after="20" w:line="254" w:lineRule="auto"/>
            </w:pPr>
            <w:r>
              <w:rPr>
                <w:rFonts w:ascii="Carlito" w:hAnsi="Carlito"/>
                <w:b/>
                <w:i w:val="0"/>
                <w:color w:val="FFFFFF"/>
                <w:sz w:val="19"/>
              </w:rPr>
              <w:t>Case</w:t>
            </w:r>
          </w:p>
        </w:tc>
        <w:tc>
          <w:tcPr>
            <w:tcW w:type="dxa" w:w="2621"/>
          </w:tcPr>
          <w:p>
            <w:pPr>
              <w:spacing w:before="20" w:after="20" w:line="254" w:lineRule="auto"/>
            </w:pPr>
            <w:r>
              <w:rPr>
                <w:rFonts w:ascii="Carlito" w:hAnsi="Carlito"/>
                <w:b/>
                <w:i w:val="0"/>
                <w:color w:val="FFFFFF"/>
                <w:sz w:val="19"/>
              </w:rPr>
              <w:t>Concomitants / alternative cause</w:t>
            </w:r>
          </w:p>
        </w:tc>
        <w:tc>
          <w:tcPr>
            <w:tcW w:type="dxa" w:w="1310"/>
          </w:tcPr>
          <w:p>
            <w:pPr>
              <w:spacing w:before="20" w:after="20" w:line="254" w:lineRule="auto"/>
            </w:pPr>
            <w:r>
              <w:rPr>
                <w:rFonts w:ascii="Carlito" w:hAnsi="Carlito"/>
                <w:b/>
                <w:i w:val="0"/>
                <w:color w:val="FFFFFF"/>
                <w:sz w:val="19"/>
              </w:rPr>
              <w:t>Dechallenge</w:t>
            </w:r>
          </w:p>
        </w:tc>
        <w:tc>
          <w:tcPr>
            <w:tcW w:type="dxa" w:w="1404"/>
          </w:tcPr>
          <w:p>
            <w:pPr>
              <w:spacing w:before="20" w:after="20" w:line="254" w:lineRule="auto"/>
            </w:pPr>
            <w:r>
              <w:rPr>
                <w:rFonts w:ascii="Carlito" w:hAnsi="Carlito"/>
                <w:b/>
                <w:i w:val="0"/>
                <w:color w:val="FFFFFF"/>
                <w:sz w:val="19"/>
              </w:rPr>
              <w:t>Rechallenge</w:t>
            </w:r>
          </w:p>
        </w:tc>
        <w:tc>
          <w:tcPr>
            <w:tcW w:type="dxa" w:w="1310"/>
          </w:tcPr>
          <w:p>
            <w:pPr>
              <w:spacing w:before="20" w:after="20" w:line="254" w:lineRule="auto"/>
            </w:pPr>
            <w:r>
              <w:rPr>
                <w:rFonts w:ascii="Carlito" w:hAnsi="Carlito"/>
                <w:b/>
                <w:i w:val="0"/>
                <w:color w:val="FFFFFF"/>
                <w:sz w:val="19"/>
              </w:rPr>
              <w:t>Outcome</w:t>
            </w:r>
          </w:p>
        </w:tc>
        <w:tc>
          <w:tcPr>
            <w:tcW w:type="dxa" w:w="1778"/>
          </w:tcPr>
          <w:p>
            <w:pPr>
              <w:spacing w:before="20" w:after="20" w:line="254" w:lineRule="auto"/>
            </w:pPr>
            <w:r>
              <w:rPr>
                <w:rFonts w:ascii="Carlito" w:hAnsi="Carlito"/>
                <w:b/>
                <w:i w:val="0"/>
                <w:color w:val="FFFFFF"/>
                <w:sz w:val="19"/>
              </w:rPr>
              <w:t>Reviewer assessment</w:t>
            </w:r>
          </w:p>
        </w:tc>
      </w:tr>
      <w:tr>
        <w:tc>
          <w:tcPr>
            <w:tcW w:type="dxa" w:w="936"/>
          </w:tcPr>
          <w:p>
            <w:pPr>
              <w:spacing w:before="20" w:after="20" w:line="254" w:lineRule="auto"/>
            </w:pPr>
          </w:p>
        </w:tc>
        <w:tc>
          <w:tcPr>
            <w:tcW w:type="dxa" w:w="2621"/>
          </w:tcPr>
          <w:p>
            <w:pPr>
              <w:spacing w:before="20" w:after="20" w:line="254" w:lineRule="auto"/>
            </w:pPr>
          </w:p>
        </w:tc>
        <w:tc>
          <w:tcPr>
            <w:tcW w:type="dxa" w:w="1310"/>
          </w:tcPr>
          <w:p>
            <w:pPr>
              <w:spacing w:before="20" w:after="20" w:line="254" w:lineRule="auto"/>
            </w:pPr>
          </w:p>
        </w:tc>
        <w:tc>
          <w:tcPr>
            <w:tcW w:type="dxa" w:w="1404"/>
          </w:tcPr>
          <w:p>
            <w:pPr>
              <w:spacing w:before="20" w:after="20" w:line="254" w:lineRule="auto"/>
            </w:pPr>
          </w:p>
        </w:tc>
        <w:tc>
          <w:tcPr>
            <w:tcW w:type="dxa" w:w="1310"/>
          </w:tcPr>
          <w:p>
            <w:pPr>
              <w:spacing w:before="20" w:after="20" w:line="254" w:lineRule="auto"/>
            </w:pPr>
          </w:p>
        </w:tc>
        <w:tc>
          <w:tcPr>
            <w:tcW w:type="dxa" w:w="1778"/>
          </w:tcPr>
          <w:p>
            <w:pPr>
              <w:spacing w:before="20" w:after="20" w:line="254" w:lineRule="auto"/>
            </w:pPr>
          </w:p>
        </w:tc>
      </w:tr>
      <w:tr>
        <w:tc>
          <w:tcPr>
            <w:tcW w:type="dxa" w:w="936"/>
          </w:tcPr>
          <w:p>
            <w:pPr>
              <w:spacing w:before="20" w:after="20" w:line="254" w:lineRule="auto"/>
            </w:pPr>
          </w:p>
        </w:tc>
        <w:tc>
          <w:tcPr>
            <w:tcW w:type="dxa" w:w="2621"/>
          </w:tcPr>
          <w:p>
            <w:pPr>
              <w:spacing w:before="20" w:after="20" w:line="254" w:lineRule="auto"/>
            </w:pPr>
          </w:p>
        </w:tc>
        <w:tc>
          <w:tcPr>
            <w:tcW w:type="dxa" w:w="1310"/>
          </w:tcPr>
          <w:p>
            <w:pPr>
              <w:spacing w:before="20" w:after="20" w:line="254" w:lineRule="auto"/>
            </w:pPr>
          </w:p>
        </w:tc>
        <w:tc>
          <w:tcPr>
            <w:tcW w:type="dxa" w:w="1404"/>
          </w:tcPr>
          <w:p>
            <w:pPr>
              <w:spacing w:before="20" w:after="20" w:line="254" w:lineRule="auto"/>
            </w:pPr>
          </w:p>
        </w:tc>
        <w:tc>
          <w:tcPr>
            <w:tcW w:type="dxa" w:w="1310"/>
          </w:tcPr>
          <w:p>
            <w:pPr>
              <w:spacing w:before="20" w:after="20" w:line="254" w:lineRule="auto"/>
            </w:pPr>
          </w:p>
        </w:tc>
        <w:tc>
          <w:tcPr>
            <w:tcW w:type="dxa" w:w="1778"/>
          </w:tcPr>
          <w:p>
            <w:pPr>
              <w:spacing w:before="20" w:after="20" w:line="254" w:lineRule="auto"/>
            </w:pPr>
          </w:p>
        </w:tc>
      </w:tr>
      <w:tr>
        <w:tc>
          <w:tcPr>
            <w:tcW w:type="dxa" w:w="936"/>
          </w:tcPr>
          <w:p>
            <w:pPr>
              <w:spacing w:before="20" w:after="20" w:line="254" w:lineRule="auto"/>
            </w:pPr>
          </w:p>
        </w:tc>
        <w:tc>
          <w:tcPr>
            <w:tcW w:type="dxa" w:w="2621"/>
          </w:tcPr>
          <w:p>
            <w:pPr>
              <w:spacing w:before="20" w:after="20" w:line="254" w:lineRule="auto"/>
            </w:pPr>
          </w:p>
        </w:tc>
        <w:tc>
          <w:tcPr>
            <w:tcW w:type="dxa" w:w="1310"/>
          </w:tcPr>
          <w:p>
            <w:pPr>
              <w:spacing w:before="20" w:after="20" w:line="254" w:lineRule="auto"/>
            </w:pPr>
          </w:p>
        </w:tc>
        <w:tc>
          <w:tcPr>
            <w:tcW w:type="dxa" w:w="1404"/>
          </w:tcPr>
          <w:p>
            <w:pPr>
              <w:spacing w:before="20" w:after="20" w:line="254" w:lineRule="auto"/>
            </w:pPr>
          </w:p>
        </w:tc>
        <w:tc>
          <w:tcPr>
            <w:tcW w:type="dxa" w:w="1310"/>
          </w:tcPr>
          <w:p>
            <w:pPr>
              <w:spacing w:before="20" w:after="20" w:line="254" w:lineRule="auto"/>
            </w:pPr>
          </w:p>
        </w:tc>
        <w:tc>
          <w:tcPr>
            <w:tcW w:type="dxa" w:w="1778"/>
          </w:tcPr>
          <w:p>
            <w:pPr>
              <w:spacing w:before="20" w:after="20" w:line="254" w:lineRule="auto"/>
            </w:pPr>
          </w:p>
        </w:tc>
      </w:tr>
      <w:tr>
        <w:tc>
          <w:tcPr>
            <w:tcW w:type="dxa" w:w="936"/>
          </w:tcPr>
          <w:p>
            <w:pPr>
              <w:spacing w:before="20" w:after="20" w:line="254" w:lineRule="auto"/>
            </w:pPr>
          </w:p>
        </w:tc>
        <w:tc>
          <w:tcPr>
            <w:tcW w:type="dxa" w:w="2621"/>
          </w:tcPr>
          <w:p>
            <w:pPr>
              <w:spacing w:before="20" w:after="20" w:line="254" w:lineRule="auto"/>
            </w:pPr>
          </w:p>
        </w:tc>
        <w:tc>
          <w:tcPr>
            <w:tcW w:type="dxa" w:w="1310"/>
          </w:tcPr>
          <w:p>
            <w:pPr>
              <w:spacing w:before="20" w:after="20" w:line="254" w:lineRule="auto"/>
            </w:pPr>
          </w:p>
        </w:tc>
        <w:tc>
          <w:tcPr>
            <w:tcW w:type="dxa" w:w="1404"/>
          </w:tcPr>
          <w:p>
            <w:pPr>
              <w:spacing w:before="20" w:after="20" w:line="254" w:lineRule="auto"/>
            </w:pPr>
          </w:p>
        </w:tc>
        <w:tc>
          <w:tcPr>
            <w:tcW w:type="dxa" w:w="1310"/>
          </w:tcPr>
          <w:p>
            <w:pPr>
              <w:spacing w:before="20" w:after="20" w:line="254" w:lineRule="auto"/>
            </w:pPr>
          </w:p>
        </w:tc>
        <w:tc>
          <w:tcPr>
            <w:tcW w:type="dxa" w:w="1778"/>
          </w:tcPr>
          <w:p>
            <w:pPr>
              <w:spacing w:before="20" w:after="20" w:line="254" w:lineRule="auto"/>
            </w:pPr>
          </w:p>
        </w:tc>
      </w:tr>
    </w:tbl>
    <w:p>
      <w:pPr>
        <w:spacing w:after="40"/>
      </w:pPr>
    </w:p>
    <w:p>
      <w:pPr>
        <w:pStyle w:val="Heading2"/>
      </w:pPr>
      <w:r>
        <w:t>B.4 Worked specimen (Torvaxel, illustrative)</w:t>
      </w:r>
    </w:p>
    <w:p>
      <w:pPr>
        <w:pStyle w:val="SubtleNote"/>
      </w:pPr>
      <w:r>
        <w:t>Torvaxel is a fictional product used throughout this book. ULN: ALT 40 U/L, ALP 120 U/L, bilirubin 1.2 mg/dL. Twelve adjudicated cases, identifiers assigned in ascending order of time to onset.</w:t>
      </w:r>
    </w:p>
    <w:tbl>
      <w:tblPr>
        <w:tblStyle w:val="ToolkitTable"/>
        <w:tblW w:type="auto" w:w="0"/>
        <w:jc w:val="left"/>
        <w:tblLayout w:type="fixed"/>
        <w:tblLook w:val="04A0" w:firstRow="1" w:lastRow="0" w:firstColumn="0" w:lastColumn="0" w:noHBand="0" w:noVBand="1"/>
      </w:tblPr>
      <w:tblGrid>
        <w:gridCol w:w="1217"/>
        <w:gridCol w:w="1030"/>
        <w:gridCol w:w="936"/>
        <w:gridCol w:w="1123"/>
        <w:gridCol w:w="1123"/>
        <w:gridCol w:w="1123"/>
        <w:gridCol w:w="842"/>
        <w:gridCol w:w="1966"/>
      </w:tblGrid>
      <w:tr>
        <w:trPr>
          <w:tblHeader/>
        </w:trPr>
        <w:tc>
          <w:tcPr>
            <w:tcW w:type="dxa" w:w="1217"/>
          </w:tcPr>
          <w:p>
            <w:pPr>
              <w:spacing w:before="20" w:after="20" w:line="254" w:lineRule="auto"/>
            </w:pPr>
            <w:r>
              <w:rPr>
                <w:rFonts w:ascii="Carlito" w:hAnsi="Carlito"/>
                <w:b/>
                <w:i w:val="0"/>
                <w:color w:val="FFFFFF"/>
                <w:sz w:val="19"/>
              </w:rPr>
              <w:t>Case</w:t>
            </w:r>
          </w:p>
        </w:tc>
        <w:tc>
          <w:tcPr>
            <w:tcW w:type="dxa" w:w="1030"/>
          </w:tcPr>
          <w:p>
            <w:pPr>
              <w:spacing w:before="20" w:after="20" w:line="254" w:lineRule="auto"/>
            </w:pPr>
            <w:r>
              <w:rPr>
                <w:rFonts w:ascii="Carlito" w:hAnsi="Carlito"/>
                <w:b/>
                <w:i w:val="0"/>
                <w:color w:val="FFFFFF"/>
                <w:sz w:val="19"/>
              </w:rPr>
              <w:t>Age / sex</w:t>
            </w:r>
          </w:p>
        </w:tc>
        <w:tc>
          <w:tcPr>
            <w:tcW w:type="dxa" w:w="936"/>
          </w:tcPr>
          <w:p>
            <w:pPr>
              <w:spacing w:before="20" w:after="20" w:line="254" w:lineRule="auto"/>
            </w:pPr>
            <w:r>
              <w:rPr>
                <w:rFonts w:ascii="Carlito" w:hAnsi="Carlito"/>
                <w:b/>
                <w:i w:val="0"/>
                <w:color w:val="FFFFFF"/>
                <w:sz w:val="19"/>
              </w:rPr>
              <w:t>Onset (d)</w:t>
            </w:r>
          </w:p>
        </w:tc>
        <w:tc>
          <w:tcPr>
            <w:tcW w:type="dxa" w:w="1123"/>
          </w:tcPr>
          <w:p>
            <w:pPr>
              <w:spacing w:before="20" w:after="20" w:line="254" w:lineRule="auto"/>
            </w:pPr>
            <w:r>
              <w:rPr>
                <w:rFonts w:ascii="Carlito" w:hAnsi="Carlito"/>
                <w:b/>
                <w:i w:val="0"/>
                <w:color w:val="FFFFFF"/>
                <w:sz w:val="19"/>
              </w:rPr>
              <w:t>ALT (×ULN)</w:t>
            </w:r>
          </w:p>
        </w:tc>
        <w:tc>
          <w:tcPr>
            <w:tcW w:type="dxa" w:w="1123"/>
          </w:tcPr>
          <w:p>
            <w:pPr>
              <w:spacing w:before="20" w:after="20" w:line="254" w:lineRule="auto"/>
            </w:pPr>
            <w:r>
              <w:rPr>
                <w:rFonts w:ascii="Carlito" w:hAnsi="Carlito"/>
                <w:b/>
                <w:i w:val="0"/>
                <w:color w:val="FFFFFF"/>
                <w:sz w:val="19"/>
              </w:rPr>
              <w:t>ALP (×ULN)</w:t>
            </w:r>
          </w:p>
        </w:tc>
        <w:tc>
          <w:tcPr>
            <w:tcW w:type="dxa" w:w="1123"/>
          </w:tcPr>
          <w:p>
            <w:pPr>
              <w:spacing w:before="20" w:after="20" w:line="254" w:lineRule="auto"/>
            </w:pPr>
            <w:r>
              <w:rPr>
                <w:rFonts w:ascii="Carlito" w:hAnsi="Carlito"/>
                <w:b/>
                <w:i w:val="0"/>
                <w:color w:val="FFFFFF"/>
                <w:sz w:val="19"/>
              </w:rPr>
              <w:t>Bili (×ULN)</w:t>
            </w:r>
          </w:p>
        </w:tc>
        <w:tc>
          <w:tcPr>
            <w:tcW w:type="dxa" w:w="842"/>
          </w:tcPr>
          <w:p>
            <w:pPr>
              <w:spacing w:before="20" w:after="20" w:line="254" w:lineRule="auto"/>
            </w:pPr>
            <w:r>
              <w:rPr>
                <w:rFonts w:ascii="Carlito" w:hAnsi="Carlito"/>
                <w:b/>
                <w:i w:val="0"/>
                <w:color w:val="FFFFFF"/>
                <w:sz w:val="19"/>
              </w:rPr>
              <w:t>R</w:t>
            </w:r>
          </w:p>
        </w:tc>
        <w:tc>
          <w:tcPr>
            <w:tcW w:type="dxa" w:w="1966"/>
          </w:tcPr>
          <w:p>
            <w:pPr>
              <w:spacing w:before="20" w:after="20" w:line="254" w:lineRule="auto"/>
            </w:pPr>
            <w:r>
              <w:rPr>
                <w:rFonts w:ascii="Carlito" w:hAnsi="Carlito"/>
                <w:b/>
                <w:i w:val="0"/>
                <w:color w:val="FFFFFF"/>
                <w:sz w:val="19"/>
              </w:rPr>
              <w:t>Phenotype</w:t>
            </w:r>
          </w:p>
        </w:tc>
      </w:tr>
      <w:tr>
        <w:tc>
          <w:tcPr>
            <w:tcW w:type="dxa" w:w="1217"/>
          </w:tcPr>
          <w:p>
            <w:pPr>
              <w:spacing w:before="20" w:after="20" w:line="254" w:lineRule="auto"/>
            </w:pPr>
            <w:r>
              <w:rPr>
                <w:rFonts w:ascii="Carlito" w:hAnsi="Carlito"/>
                <w:b w:val="0"/>
                <w:i w:val="0"/>
                <w:sz w:val="19"/>
              </w:rPr>
              <w:t>TVX-001</w:t>
            </w:r>
          </w:p>
        </w:tc>
        <w:tc>
          <w:tcPr>
            <w:tcW w:type="dxa" w:w="1030"/>
          </w:tcPr>
          <w:p>
            <w:pPr>
              <w:spacing w:before="20" w:after="20" w:line="254" w:lineRule="auto"/>
            </w:pPr>
            <w:r>
              <w:rPr>
                <w:rFonts w:ascii="Carlito" w:hAnsi="Carlito"/>
                <w:b w:val="0"/>
                <w:i w:val="0"/>
                <w:sz w:val="19"/>
              </w:rPr>
              <w:t>71 F</w:t>
            </w:r>
          </w:p>
        </w:tc>
        <w:tc>
          <w:tcPr>
            <w:tcW w:type="dxa" w:w="936"/>
          </w:tcPr>
          <w:p>
            <w:pPr>
              <w:spacing w:before="20" w:after="20" w:line="254" w:lineRule="auto"/>
            </w:pPr>
            <w:r>
              <w:rPr>
                <w:rFonts w:ascii="Carlito" w:hAnsi="Carlito"/>
                <w:b w:val="0"/>
                <w:i w:val="0"/>
                <w:sz w:val="19"/>
              </w:rPr>
              <w:t>2</w:t>
            </w:r>
          </w:p>
        </w:tc>
        <w:tc>
          <w:tcPr>
            <w:tcW w:type="dxa" w:w="1123"/>
          </w:tcPr>
          <w:p>
            <w:pPr>
              <w:spacing w:before="20" w:after="20" w:line="254" w:lineRule="auto"/>
            </w:pPr>
            <w:r>
              <w:rPr>
                <w:rFonts w:ascii="Carlito" w:hAnsi="Carlito"/>
                <w:b w:val="0"/>
                <w:i w:val="0"/>
                <w:sz w:val="19"/>
              </w:rPr>
              <w:t>10.5</w:t>
            </w:r>
          </w:p>
        </w:tc>
        <w:tc>
          <w:tcPr>
            <w:tcW w:type="dxa" w:w="1123"/>
          </w:tcPr>
          <w:p>
            <w:pPr>
              <w:spacing w:before="20" w:after="20" w:line="254" w:lineRule="auto"/>
            </w:pPr>
            <w:r>
              <w:rPr>
                <w:rFonts w:ascii="Carlito" w:hAnsi="Carlito"/>
                <w:b w:val="0"/>
                <w:i w:val="0"/>
                <w:sz w:val="19"/>
              </w:rPr>
              <w:t>3.25</w:t>
            </w:r>
          </w:p>
        </w:tc>
        <w:tc>
          <w:tcPr>
            <w:tcW w:type="dxa" w:w="1123"/>
          </w:tcPr>
          <w:p>
            <w:pPr>
              <w:spacing w:before="20" w:after="20" w:line="254" w:lineRule="auto"/>
            </w:pPr>
            <w:r>
              <w:rPr>
                <w:rFonts w:ascii="Carlito" w:hAnsi="Carlito"/>
                <w:b w:val="0"/>
                <w:i w:val="0"/>
                <w:sz w:val="19"/>
              </w:rPr>
              <w:t>2.3</w:t>
            </w:r>
          </w:p>
        </w:tc>
        <w:tc>
          <w:tcPr>
            <w:tcW w:type="dxa" w:w="842"/>
          </w:tcPr>
          <w:p>
            <w:pPr>
              <w:spacing w:before="20" w:after="20" w:line="254" w:lineRule="auto"/>
            </w:pPr>
            <w:r>
              <w:rPr>
                <w:rFonts w:ascii="Carlito" w:hAnsi="Carlito"/>
                <w:b w:val="0"/>
                <w:i w:val="0"/>
                <w:sz w:val="19"/>
              </w:rPr>
              <w:t>3.2</w:t>
            </w:r>
          </w:p>
        </w:tc>
        <w:tc>
          <w:tcPr>
            <w:tcW w:type="dxa" w:w="1966"/>
          </w:tcPr>
          <w:p>
            <w:pPr>
              <w:spacing w:before="20" w:after="20" w:line="254" w:lineRule="auto"/>
            </w:pPr>
            <w:r>
              <w:rPr>
                <w:rFonts w:ascii="Carlito" w:hAnsi="Carlito"/>
                <w:b w:val="0"/>
                <w:i w:val="0"/>
                <w:sz w:val="19"/>
              </w:rPr>
              <w:t>Mixed</w:t>
            </w:r>
          </w:p>
        </w:tc>
      </w:tr>
      <w:tr>
        <w:tc>
          <w:tcPr>
            <w:tcW w:type="dxa" w:w="1217"/>
          </w:tcPr>
          <w:p>
            <w:pPr>
              <w:spacing w:before="20" w:after="20" w:line="254" w:lineRule="auto"/>
            </w:pPr>
            <w:r>
              <w:rPr>
                <w:rFonts w:ascii="Carlito" w:hAnsi="Carlito"/>
                <w:b w:val="0"/>
                <w:i w:val="0"/>
                <w:sz w:val="19"/>
              </w:rPr>
              <w:t>TVX-002</w:t>
            </w:r>
          </w:p>
        </w:tc>
        <w:tc>
          <w:tcPr>
            <w:tcW w:type="dxa" w:w="1030"/>
          </w:tcPr>
          <w:p>
            <w:pPr>
              <w:spacing w:before="20" w:after="20" w:line="254" w:lineRule="auto"/>
            </w:pPr>
            <w:r>
              <w:rPr>
                <w:rFonts w:ascii="Carlito" w:hAnsi="Carlito"/>
                <w:b w:val="0"/>
                <w:i w:val="0"/>
                <w:sz w:val="19"/>
              </w:rPr>
              <w:t>58 M</w:t>
            </w:r>
          </w:p>
        </w:tc>
        <w:tc>
          <w:tcPr>
            <w:tcW w:type="dxa" w:w="936"/>
          </w:tcPr>
          <w:p>
            <w:pPr>
              <w:spacing w:before="20" w:after="20" w:line="254" w:lineRule="auto"/>
            </w:pPr>
            <w:r>
              <w:rPr>
                <w:rFonts w:ascii="Carlito" w:hAnsi="Carlito"/>
                <w:b w:val="0"/>
                <w:i w:val="0"/>
                <w:sz w:val="19"/>
              </w:rPr>
              <w:t>3</w:t>
            </w:r>
          </w:p>
        </w:tc>
        <w:tc>
          <w:tcPr>
            <w:tcW w:type="dxa" w:w="1123"/>
          </w:tcPr>
          <w:p>
            <w:pPr>
              <w:spacing w:before="20" w:after="20" w:line="254" w:lineRule="auto"/>
            </w:pPr>
            <w:r>
              <w:rPr>
                <w:rFonts w:ascii="Carlito" w:hAnsi="Carlito"/>
                <w:b w:val="0"/>
                <w:i w:val="0"/>
                <w:sz w:val="19"/>
              </w:rPr>
              <w:t>7.8</w:t>
            </w:r>
          </w:p>
        </w:tc>
        <w:tc>
          <w:tcPr>
            <w:tcW w:type="dxa" w:w="1123"/>
          </w:tcPr>
          <w:p>
            <w:pPr>
              <w:spacing w:before="20" w:after="20" w:line="254" w:lineRule="auto"/>
            </w:pPr>
            <w:r>
              <w:rPr>
                <w:rFonts w:ascii="Carlito" w:hAnsi="Carlito"/>
                <w:b w:val="0"/>
                <w:i w:val="0"/>
                <w:sz w:val="19"/>
              </w:rPr>
              <w:t>NR</w:t>
            </w:r>
          </w:p>
        </w:tc>
        <w:tc>
          <w:tcPr>
            <w:tcW w:type="dxa" w:w="1123"/>
          </w:tcPr>
          <w:p>
            <w:pPr>
              <w:spacing w:before="20" w:after="20" w:line="254" w:lineRule="auto"/>
            </w:pPr>
            <w:r>
              <w:rPr>
                <w:rFonts w:ascii="Carlito" w:hAnsi="Carlito"/>
                <w:b w:val="0"/>
                <w:i w:val="0"/>
                <w:sz w:val="19"/>
              </w:rPr>
              <w:t>NR</w:t>
            </w:r>
          </w:p>
        </w:tc>
        <w:tc>
          <w:tcPr>
            <w:tcW w:type="dxa" w:w="842"/>
          </w:tcPr>
          <w:p>
            <w:pPr>
              <w:spacing w:before="20" w:after="20" w:line="254" w:lineRule="auto"/>
            </w:pPr>
            <w:r>
              <w:rPr>
                <w:rFonts w:ascii="Carlito" w:hAnsi="Carlito"/>
                <w:b w:val="0"/>
                <w:i w:val="0"/>
                <w:sz w:val="19"/>
              </w:rPr>
              <w:t>NC</w:t>
            </w:r>
          </w:p>
        </w:tc>
        <w:tc>
          <w:tcPr>
            <w:tcW w:type="dxa" w:w="1966"/>
          </w:tcPr>
          <w:p>
            <w:pPr>
              <w:spacing w:before="20" w:after="20" w:line="254" w:lineRule="auto"/>
            </w:pPr>
            <w:r>
              <w:rPr>
                <w:rFonts w:ascii="Carlito" w:hAnsi="Carlito"/>
                <w:b w:val="0"/>
                <w:i w:val="0"/>
                <w:sz w:val="19"/>
              </w:rPr>
              <w:t>Unclassified</w:t>
            </w:r>
          </w:p>
        </w:tc>
      </w:tr>
      <w:tr>
        <w:tc>
          <w:tcPr>
            <w:tcW w:type="dxa" w:w="1217"/>
          </w:tcPr>
          <w:p>
            <w:pPr>
              <w:spacing w:before="20" w:after="20" w:line="254" w:lineRule="auto"/>
            </w:pPr>
            <w:r>
              <w:rPr>
                <w:rFonts w:ascii="Carlito" w:hAnsi="Carlito"/>
                <w:b w:val="0"/>
                <w:i w:val="0"/>
                <w:sz w:val="19"/>
              </w:rPr>
              <w:t>TVX-003</w:t>
            </w:r>
          </w:p>
        </w:tc>
        <w:tc>
          <w:tcPr>
            <w:tcW w:type="dxa" w:w="1030"/>
          </w:tcPr>
          <w:p>
            <w:pPr>
              <w:spacing w:before="20" w:after="20" w:line="254" w:lineRule="auto"/>
            </w:pPr>
            <w:r>
              <w:rPr>
                <w:rFonts w:ascii="Carlito" w:hAnsi="Carlito"/>
                <w:b w:val="0"/>
                <w:i w:val="0"/>
                <w:sz w:val="19"/>
              </w:rPr>
              <w:t>64 F</w:t>
            </w:r>
          </w:p>
        </w:tc>
        <w:tc>
          <w:tcPr>
            <w:tcW w:type="dxa" w:w="936"/>
          </w:tcPr>
          <w:p>
            <w:pPr>
              <w:spacing w:before="20" w:after="20" w:line="254" w:lineRule="auto"/>
            </w:pPr>
            <w:r>
              <w:rPr>
                <w:rFonts w:ascii="Carlito" w:hAnsi="Carlito"/>
                <w:b w:val="0"/>
                <w:i w:val="0"/>
                <w:sz w:val="19"/>
              </w:rPr>
              <w:t>3</w:t>
            </w:r>
          </w:p>
        </w:tc>
        <w:tc>
          <w:tcPr>
            <w:tcW w:type="dxa" w:w="1123"/>
          </w:tcPr>
          <w:p>
            <w:pPr>
              <w:spacing w:before="20" w:after="20" w:line="254" w:lineRule="auto"/>
            </w:pPr>
            <w:r>
              <w:rPr>
                <w:rFonts w:ascii="Carlito" w:hAnsi="Carlito"/>
                <w:b w:val="0"/>
                <w:i w:val="0"/>
                <w:sz w:val="19"/>
              </w:rPr>
              <w:t>6.6</w:t>
            </w:r>
          </w:p>
        </w:tc>
        <w:tc>
          <w:tcPr>
            <w:tcW w:type="dxa" w:w="1123"/>
          </w:tcPr>
          <w:p>
            <w:pPr>
              <w:spacing w:before="20" w:after="20" w:line="254" w:lineRule="auto"/>
            </w:pPr>
            <w:r>
              <w:rPr>
                <w:rFonts w:ascii="Carlito" w:hAnsi="Carlito"/>
                <w:b w:val="0"/>
                <w:i w:val="0"/>
                <w:sz w:val="19"/>
              </w:rPr>
              <w:t>NR</w:t>
            </w:r>
          </w:p>
        </w:tc>
        <w:tc>
          <w:tcPr>
            <w:tcW w:type="dxa" w:w="1123"/>
          </w:tcPr>
          <w:p>
            <w:pPr>
              <w:spacing w:before="20" w:after="20" w:line="254" w:lineRule="auto"/>
            </w:pPr>
            <w:r>
              <w:rPr>
                <w:rFonts w:ascii="Carlito" w:hAnsi="Carlito"/>
                <w:b w:val="0"/>
                <w:i w:val="0"/>
                <w:sz w:val="19"/>
              </w:rPr>
              <w:t>1.6</w:t>
            </w:r>
          </w:p>
        </w:tc>
        <w:tc>
          <w:tcPr>
            <w:tcW w:type="dxa" w:w="842"/>
          </w:tcPr>
          <w:p>
            <w:pPr>
              <w:spacing w:before="20" w:after="20" w:line="254" w:lineRule="auto"/>
            </w:pPr>
            <w:r>
              <w:rPr>
                <w:rFonts w:ascii="Carlito" w:hAnsi="Carlito"/>
                <w:b w:val="0"/>
                <w:i w:val="0"/>
                <w:sz w:val="19"/>
              </w:rPr>
              <w:t>NC</w:t>
            </w:r>
          </w:p>
        </w:tc>
        <w:tc>
          <w:tcPr>
            <w:tcW w:type="dxa" w:w="1966"/>
          </w:tcPr>
          <w:p>
            <w:pPr>
              <w:spacing w:before="20" w:after="20" w:line="254" w:lineRule="auto"/>
            </w:pPr>
            <w:r>
              <w:rPr>
                <w:rFonts w:ascii="Carlito" w:hAnsi="Carlito"/>
                <w:b w:val="0"/>
                <w:i w:val="0"/>
                <w:sz w:val="19"/>
              </w:rPr>
              <w:t>Unclassified</w:t>
            </w:r>
          </w:p>
        </w:tc>
      </w:tr>
      <w:tr>
        <w:tc>
          <w:tcPr>
            <w:tcW w:type="dxa" w:w="1217"/>
          </w:tcPr>
          <w:p>
            <w:pPr>
              <w:spacing w:before="20" w:after="20" w:line="254" w:lineRule="auto"/>
            </w:pPr>
            <w:r>
              <w:rPr>
                <w:rFonts w:ascii="Carlito" w:hAnsi="Carlito"/>
                <w:b w:val="0"/>
                <w:i w:val="0"/>
                <w:sz w:val="19"/>
              </w:rPr>
              <w:t>TVX-004</w:t>
            </w:r>
          </w:p>
        </w:tc>
        <w:tc>
          <w:tcPr>
            <w:tcW w:type="dxa" w:w="1030"/>
          </w:tcPr>
          <w:p>
            <w:pPr>
              <w:spacing w:before="20" w:after="20" w:line="254" w:lineRule="auto"/>
            </w:pPr>
            <w:r>
              <w:rPr>
                <w:rFonts w:ascii="Carlito" w:hAnsi="Carlito"/>
                <w:b w:val="0"/>
                <w:i w:val="0"/>
                <w:sz w:val="19"/>
              </w:rPr>
              <w:t>49 M</w:t>
            </w:r>
          </w:p>
        </w:tc>
        <w:tc>
          <w:tcPr>
            <w:tcW w:type="dxa" w:w="936"/>
          </w:tcPr>
          <w:p>
            <w:pPr>
              <w:spacing w:before="20" w:after="20" w:line="254" w:lineRule="auto"/>
            </w:pPr>
            <w:r>
              <w:rPr>
                <w:rFonts w:ascii="Carlito" w:hAnsi="Carlito"/>
                <w:b w:val="0"/>
                <w:i w:val="0"/>
                <w:sz w:val="19"/>
              </w:rPr>
              <w:t>5</w:t>
            </w:r>
          </w:p>
        </w:tc>
        <w:tc>
          <w:tcPr>
            <w:tcW w:type="dxa" w:w="1123"/>
          </w:tcPr>
          <w:p>
            <w:pPr>
              <w:spacing w:before="20" w:after="20" w:line="254" w:lineRule="auto"/>
            </w:pPr>
            <w:r>
              <w:rPr>
                <w:rFonts w:ascii="Carlito" w:hAnsi="Carlito"/>
                <w:b w:val="0"/>
                <w:i w:val="0"/>
                <w:sz w:val="19"/>
              </w:rPr>
              <w:t>16.0</w:t>
            </w:r>
          </w:p>
        </w:tc>
        <w:tc>
          <w:tcPr>
            <w:tcW w:type="dxa" w:w="1123"/>
          </w:tcPr>
          <w:p>
            <w:pPr>
              <w:spacing w:before="20" w:after="20" w:line="254" w:lineRule="auto"/>
            </w:pPr>
            <w:r>
              <w:rPr>
                <w:rFonts w:ascii="Carlito" w:hAnsi="Carlito"/>
                <w:b w:val="0"/>
                <w:i w:val="0"/>
                <w:sz w:val="19"/>
              </w:rPr>
              <w:t>NR</w:t>
            </w:r>
          </w:p>
        </w:tc>
        <w:tc>
          <w:tcPr>
            <w:tcW w:type="dxa" w:w="1123"/>
          </w:tcPr>
          <w:p>
            <w:pPr>
              <w:spacing w:before="20" w:after="20" w:line="254" w:lineRule="auto"/>
            </w:pPr>
            <w:r>
              <w:rPr>
                <w:rFonts w:ascii="Carlito" w:hAnsi="Carlito"/>
                <w:b w:val="0"/>
                <w:i w:val="0"/>
                <w:sz w:val="19"/>
              </w:rPr>
              <w:t>NR</w:t>
            </w:r>
          </w:p>
        </w:tc>
        <w:tc>
          <w:tcPr>
            <w:tcW w:type="dxa" w:w="842"/>
          </w:tcPr>
          <w:p>
            <w:pPr>
              <w:spacing w:before="20" w:after="20" w:line="254" w:lineRule="auto"/>
            </w:pPr>
            <w:r>
              <w:rPr>
                <w:rFonts w:ascii="Carlito" w:hAnsi="Carlito"/>
                <w:b w:val="0"/>
                <w:i w:val="0"/>
                <w:sz w:val="19"/>
              </w:rPr>
              <w:t>NC</w:t>
            </w:r>
          </w:p>
        </w:tc>
        <w:tc>
          <w:tcPr>
            <w:tcW w:type="dxa" w:w="1966"/>
          </w:tcPr>
          <w:p>
            <w:pPr>
              <w:spacing w:before="20" w:after="20" w:line="254" w:lineRule="auto"/>
            </w:pPr>
            <w:r>
              <w:rPr>
                <w:rFonts w:ascii="Carlito" w:hAnsi="Carlito"/>
                <w:b w:val="0"/>
                <w:i w:val="0"/>
                <w:sz w:val="19"/>
              </w:rPr>
              <w:t>Unclassified</w:t>
            </w:r>
          </w:p>
        </w:tc>
      </w:tr>
      <w:tr>
        <w:tc>
          <w:tcPr>
            <w:tcW w:type="dxa" w:w="1217"/>
          </w:tcPr>
          <w:p>
            <w:pPr>
              <w:spacing w:before="20" w:after="20" w:line="254" w:lineRule="auto"/>
            </w:pPr>
            <w:r>
              <w:rPr>
                <w:rFonts w:ascii="Carlito" w:hAnsi="Carlito"/>
                <w:b w:val="0"/>
                <w:i w:val="0"/>
                <w:sz w:val="19"/>
              </w:rPr>
              <w:t>TVX-005</w:t>
            </w:r>
          </w:p>
        </w:tc>
        <w:tc>
          <w:tcPr>
            <w:tcW w:type="dxa" w:w="1030"/>
          </w:tcPr>
          <w:p>
            <w:pPr>
              <w:spacing w:before="20" w:after="20" w:line="254" w:lineRule="auto"/>
            </w:pPr>
            <w:r>
              <w:rPr>
                <w:rFonts w:ascii="Carlito" w:hAnsi="Carlito"/>
                <w:b w:val="0"/>
                <w:i w:val="0"/>
                <w:sz w:val="19"/>
              </w:rPr>
              <w:t>55 M</w:t>
            </w:r>
          </w:p>
        </w:tc>
        <w:tc>
          <w:tcPr>
            <w:tcW w:type="dxa" w:w="936"/>
          </w:tcPr>
          <w:p>
            <w:pPr>
              <w:spacing w:before="20" w:after="20" w:line="254" w:lineRule="auto"/>
            </w:pPr>
            <w:r>
              <w:rPr>
                <w:rFonts w:ascii="Carlito" w:hAnsi="Carlito"/>
                <w:b w:val="0"/>
                <w:i w:val="0"/>
                <w:sz w:val="19"/>
              </w:rPr>
              <w:t>7</w:t>
            </w:r>
          </w:p>
        </w:tc>
        <w:tc>
          <w:tcPr>
            <w:tcW w:type="dxa" w:w="1123"/>
          </w:tcPr>
          <w:p>
            <w:pPr>
              <w:spacing w:before="20" w:after="20" w:line="254" w:lineRule="auto"/>
            </w:pPr>
            <w:r>
              <w:rPr>
                <w:rFonts w:ascii="Carlito" w:hAnsi="Carlito"/>
                <w:b w:val="0"/>
                <w:i w:val="0"/>
                <w:sz w:val="19"/>
              </w:rPr>
              <w:t>36.3</w:t>
            </w:r>
          </w:p>
        </w:tc>
        <w:tc>
          <w:tcPr>
            <w:tcW w:type="dxa" w:w="1123"/>
          </w:tcPr>
          <w:p>
            <w:pPr>
              <w:spacing w:before="20" w:after="20" w:line="254" w:lineRule="auto"/>
            </w:pPr>
            <w:r>
              <w:rPr>
                <w:rFonts w:ascii="Carlito" w:hAnsi="Carlito"/>
                <w:b w:val="0"/>
                <w:i w:val="0"/>
                <w:sz w:val="19"/>
              </w:rPr>
              <w:t>1.75</w:t>
            </w:r>
          </w:p>
        </w:tc>
        <w:tc>
          <w:tcPr>
            <w:tcW w:type="dxa" w:w="1123"/>
          </w:tcPr>
          <w:p>
            <w:pPr>
              <w:spacing w:before="20" w:after="20" w:line="254" w:lineRule="auto"/>
            </w:pPr>
            <w:r>
              <w:rPr>
                <w:rFonts w:ascii="Carlito" w:hAnsi="Carlito"/>
                <w:b w:val="0"/>
                <w:i w:val="0"/>
                <w:sz w:val="19"/>
              </w:rPr>
              <w:t>4.7</w:t>
            </w:r>
          </w:p>
        </w:tc>
        <w:tc>
          <w:tcPr>
            <w:tcW w:type="dxa" w:w="842"/>
          </w:tcPr>
          <w:p>
            <w:pPr>
              <w:spacing w:before="20" w:after="20" w:line="254" w:lineRule="auto"/>
            </w:pPr>
            <w:r>
              <w:rPr>
                <w:rFonts w:ascii="Carlito" w:hAnsi="Carlito"/>
                <w:b w:val="0"/>
                <w:i w:val="0"/>
                <w:sz w:val="19"/>
              </w:rPr>
              <w:t>20.7</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TVX-006</w:t>
            </w:r>
          </w:p>
        </w:tc>
        <w:tc>
          <w:tcPr>
            <w:tcW w:type="dxa" w:w="1030"/>
          </w:tcPr>
          <w:p>
            <w:pPr>
              <w:spacing w:before="20" w:after="20" w:line="254" w:lineRule="auto"/>
            </w:pPr>
            <w:r>
              <w:rPr>
                <w:rFonts w:ascii="Carlito" w:hAnsi="Carlito"/>
                <w:b w:val="0"/>
                <w:i w:val="0"/>
                <w:sz w:val="19"/>
              </w:rPr>
              <w:t>67 F</w:t>
            </w:r>
          </w:p>
        </w:tc>
        <w:tc>
          <w:tcPr>
            <w:tcW w:type="dxa" w:w="936"/>
          </w:tcPr>
          <w:p>
            <w:pPr>
              <w:spacing w:before="20" w:after="20" w:line="254" w:lineRule="auto"/>
            </w:pPr>
            <w:r>
              <w:rPr>
                <w:rFonts w:ascii="Carlito" w:hAnsi="Carlito"/>
                <w:b w:val="0"/>
                <w:i w:val="0"/>
                <w:sz w:val="19"/>
              </w:rPr>
              <w:t>7</w:t>
            </w:r>
          </w:p>
        </w:tc>
        <w:tc>
          <w:tcPr>
            <w:tcW w:type="dxa" w:w="1123"/>
          </w:tcPr>
          <w:p>
            <w:pPr>
              <w:spacing w:before="20" w:after="20" w:line="254" w:lineRule="auto"/>
            </w:pPr>
            <w:r>
              <w:rPr>
                <w:rFonts w:ascii="Carlito" w:hAnsi="Carlito"/>
                <w:b w:val="0"/>
                <w:i w:val="0"/>
                <w:sz w:val="19"/>
              </w:rPr>
              <w:t>13.0</w:t>
            </w:r>
          </w:p>
        </w:tc>
        <w:tc>
          <w:tcPr>
            <w:tcW w:type="dxa" w:w="1123"/>
          </w:tcPr>
          <w:p>
            <w:pPr>
              <w:spacing w:before="20" w:after="20" w:line="254" w:lineRule="auto"/>
            </w:pPr>
            <w:r>
              <w:rPr>
                <w:rFonts w:ascii="Carlito" w:hAnsi="Carlito"/>
                <w:b w:val="0"/>
                <w:i w:val="0"/>
                <w:sz w:val="19"/>
              </w:rPr>
              <w:t>1.29</w:t>
            </w:r>
          </w:p>
        </w:tc>
        <w:tc>
          <w:tcPr>
            <w:tcW w:type="dxa" w:w="1123"/>
          </w:tcPr>
          <w:p>
            <w:pPr>
              <w:spacing w:before="20" w:after="20" w:line="254" w:lineRule="auto"/>
            </w:pPr>
            <w:r>
              <w:rPr>
                <w:rFonts w:ascii="Carlito" w:hAnsi="Carlito"/>
                <w:b w:val="0"/>
                <w:i w:val="0"/>
                <w:sz w:val="19"/>
              </w:rPr>
              <w:t>1.2</w:t>
            </w:r>
          </w:p>
        </w:tc>
        <w:tc>
          <w:tcPr>
            <w:tcW w:type="dxa" w:w="842"/>
          </w:tcPr>
          <w:p>
            <w:pPr>
              <w:spacing w:before="20" w:after="20" w:line="254" w:lineRule="auto"/>
            </w:pPr>
            <w:r>
              <w:rPr>
                <w:rFonts w:ascii="Carlito" w:hAnsi="Carlito"/>
                <w:b w:val="0"/>
                <w:i w:val="0"/>
                <w:sz w:val="19"/>
              </w:rPr>
              <w:t>10.1</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TVX-007</w:t>
            </w:r>
          </w:p>
        </w:tc>
        <w:tc>
          <w:tcPr>
            <w:tcW w:type="dxa" w:w="1030"/>
          </w:tcPr>
          <w:p>
            <w:pPr>
              <w:spacing w:before="20" w:after="20" w:line="254" w:lineRule="auto"/>
            </w:pPr>
            <w:r>
              <w:rPr>
                <w:rFonts w:ascii="Carlito" w:hAnsi="Carlito"/>
                <w:b w:val="0"/>
                <w:i w:val="0"/>
                <w:sz w:val="19"/>
              </w:rPr>
              <w:t>62 M</w:t>
            </w:r>
          </w:p>
        </w:tc>
        <w:tc>
          <w:tcPr>
            <w:tcW w:type="dxa" w:w="936"/>
          </w:tcPr>
          <w:p>
            <w:pPr>
              <w:spacing w:before="20" w:after="20" w:line="254" w:lineRule="auto"/>
            </w:pPr>
            <w:r>
              <w:rPr>
                <w:rFonts w:ascii="Carlito" w:hAnsi="Carlito"/>
                <w:b w:val="0"/>
                <w:i w:val="0"/>
                <w:sz w:val="19"/>
              </w:rPr>
              <w:t>10</w:t>
            </w:r>
          </w:p>
        </w:tc>
        <w:tc>
          <w:tcPr>
            <w:tcW w:type="dxa" w:w="1123"/>
          </w:tcPr>
          <w:p>
            <w:pPr>
              <w:spacing w:before="20" w:after="20" w:line="254" w:lineRule="auto"/>
            </w:pPr>
            <w:r>
              <w:rPr>
                <w:rFonts w:ascii="Carlito" w:hAnsi="Carlito"/>
                <w:b w:val="0"/>
                <w:i w:val="0"/>
                <w:sz w:val="19"/>
              </w:rPr>
              <w:t>24.5</w:t>
            </w:r>
          </w:p>
        </w:tc>
        <w:tc>
          <w:tcPr>
            <w:tcW w:type="dxa" w:w="1123"/>
          </w:tcPr>
          <w:p>
            <w:pPr>
              <w:spacing w:before="20" w:after="20" w:line="254" w:lineRule="auto"/>
            </w:pPr>
            <w:r>
              <w:rPr>
                <w:rFonts w:ascii="Carlito" w:hAnsi="Carlito"/>
                <w:b w:val="0"/>
                <w:i w:val="0"/>
                <w:sz w:val="19"/>
              </w:rPr>
              <w:t>1.21</w:t>
            </w:r>
          </w:p>
        </w:tc>
        <w:tc>
          <w:tcPr>
            <w:tcW w:type="dxa" w:w="1123"/>
          </w:tcPr>
          <w:p>
            <w:pPr>
              <w:spacing w:before="20" w:after="20" w:line="254" w:lineRule="auto"/>
            </w:pPr>
            <w:r>
              <w:rPr>
                <w:rFonts w:ascii="Carlito" w:hAnsi="Carlito"/>
                <w:b w:val="0"/>
                <w:i w:val="0"/>
                <w:sz w:val="19"/>
              </w:rPr>
              <w:t>2.8</w:t>
            </w:r>
          </w:p>
        </w:tc>
        <w:tc>
          <w:tcPr>
            <w:tcW w:type="dxa" w:w="842"/>
          </w:tcPr>
          <w:p>
            <w:pPr>
              <w:spacing w:before="20" w:after="20" w:line="254" w:lineRule="auto"/>
            </w:pPr>
            <w:r>
              <w:rPr>
                <w:rFonts w:ascii="Carlito" w:hAnsi="Carlito"/>
                <w:b w:val="0"/>
                <w:i w:val="0"/>
                <w:sz w:val="19"/>
              </w:rPr>
              <w:t>20.3</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TVX-008</w:t>
            </w:r>
          </w:p>
        </w:tc>
        <w:tc>
          <w:tcPr>
            <w:tcW w:type="dxa" w:w="1030"/>
          </w:tcPr>
          <w:p>
            <w:pPr>
              <w:spacing w:before="20" w:after="20" w:line="254" w:lineRule="auto"/>
            </w:pPr>
            <w:r>
              <w:rPr>
                <w:rFonts w:ascii="Carlito" w:hAnsi="Carlito"/>
                <w:b w:val="0"/>
                <w:i w:val="0"/>
                <w:sz w:val="19"/>
              </w:rPr>
              <w:t>44 F</w:t>
            </w:r>
          </w:p>
        </w:tc>
        <w:tc>
          <w:tcPr>
            <w:tcW w:type="dxa" w:w="936"/>
          </w:tcPr>
          <w:p>
            <w:pPr>
              <w:spacing w:before="20" w:after="20" w:line="254" w:lineRule="auto"/>
            </w:pPr>
            <w:r>
              <w:rPr>
                <w:rFonts w:ascii="Carlito" w:hAnsi="Carlito"/>
                <w:b w:val="0"/>
                <w:i w:val="0"/>
                <w:sz w:val="19"/>
              </w:rPr>
              <w:t>14</w:t>
            </w:r>
          </w:p>
        </w:tc>
        <w:tc>
          <w:tcPr>
            <w:tcW w:type="dxa" w:w="1123"/>
          </w:tcPr>
          <w:p>
            <w:pPr>
              <w:spacing w:before="20" w:after="20" w:line="254" w:lineRule="auto"/>
            </w:pPr>
            <w:r>
              <w:rPr>
                <w:rFonts w:ascii="Carlito" w:hAnsi="Carlito"/>
                <w:b w:val="0"/>
                <w:i w:val="0"/>
                <w:sz w:val="19"/>
              </w:rPr>
              <w:t>6.5</w:t>
            </w:r>
          </w:p>
        </w:tc>
        <w:tc>
          <w:tcPr>
            <w:tcW w:type="dxa" w:w="1123"/>
          </w:tcPr>
          <w:p>
            <w:pPr>
              <w:spacing w:before="20" w:after="20" w:line="254" w:lineRule="auto"/>
            </w:pPr>
            <w:r>
              <w:rPr>
                <w:rFonts w:ascii="Carlito" w:hAnsi="Carlito"/>
                <w:b w:val="0"/>
                <w:i w:val="0"/>
                <w:sz w:val="19"/>
              </w:rPr>
              <w:t>1.25</w:t>
            </w:r>
          </w:p>
        </w:tc>
        <w:tc>
          <w:tcPr>
            <w:tcW w:type="dxa" w:w="1123"/>
          </w:tcPr>
          <w:p>
            <w:pPr>
              <w:spacing w:before="20" w:after="20" w:line="254" w:lineRule="auto"/>
            </w:pPr>
            <w:r>
              <w:rPr>
                <w:rFonts w:ascii="Carlito" w:hAnsi="Carlito"/>
                <w:b w:val="0"/>
                <w:i w:val="0"/>
                <w:sz w:val="19"/>
              </w:rPr>
              <w:t>0.9</w:t>
            </w:r>
          </w:p>
        </w:tc>
        <w:tc>
          <w:tcPr>
            <w:tcW w:type="dxa" w:w="842"/>
          </w:tcPr>
          <w:p>
            <w:pPr>
              <w:spacing w:before="20" w:after="20" w:line="254" w:lineRule="auto"/>
            </w:pPr>
            <w:r>
              <w:rPr>
                <w:rFonts w:ascii="Carlito" w:hAnsi="Carlito"/>
                <w:b w:val="0"/>
                <w:i w:val="0"/>
                <w:sz w:val="19"/>
              </w:rPr>
              <w:t>5.2</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TVX-009</w:t>
            </w:r>
          </w:p>
        </w:tc>
        <w:tc>
          <w:tcPr>
            <w:tcW w:type="dxa" w:w="1030"/>
          </w:tcPr>
          <w:p>
            <w:pPr>
              <w:spacing w:before="20" w:after="20" w:line="254" w:lineRule="auto"/>
            </w:pPr>
            <w:r>
              <w:rPr>
                <w:rFonts w:ascii="Carlito" w:hAnsi="Carlito"/>
                <w:b w:val="0"/>
                <w:i w:val="0"/>
                <w:sz w:val="19"/>
              </w:rPr>
              <w:t>70 M</w:t>
            </w:r>
          </w:p>
        </w:tc>
        <w:tc>
          <w:tcPr>
            <w:tcW w:type="dxa" w:w="936"/>
          </w:tcPr>
          <w:p>
            <w:pPr>
              <w:spacing w:before="20" w:after="20" w:line="254" w:lineRule="auto"/>
            </w:pPr>
            <w:r>
              <w:rPr>
                <w:rFonts w:ascii="Carlito" w:hAnsi="Carlito"/>
                <w:b w:val="0"/>
                <w:i w:val="0"/>
                <w:sz w:val="19"/>
              </w:rPr>
              <w:t>21</w:t>
            </w:r>
          </w:p>
        </w:tc>
        <w:tc>
          <w:tcPr>
            <w:tcW w:type="dxa" w:w="1123"/>
          </w:tcPr>
          <w:p>
            <w:pPr>
              <w:spacing w:before="20" w:after="20" w:line="254" w:lineRule="auto"/>
            </w:pPr>
            <w:r>
              <w:rPr>
                <w:rFonts w:ascii="Carlito" w:hAnsi="Carlito"/>
                <w:b w:val="0"/>
                <w:i w:val="0"/>
                <w:sz w:val="19"/>
              </w:rPr>
              <w:t>28.0</w:t>
            </w:r>
          </w:p>
        </w:tc>
        <w:tc>
          <w:tcPr>
            <w:tcW w:type="dxa" w:w="1123"/>
          </w:tcPr>
          <w:p>
            <w:pPr>
              <w:spacing w:before="20" w:after="20" w:line="254" w:lineRule="auto"/>
            </w:pPr>
            <w:r>
              <w:rPr>
                <w:rFonts w:ascii="Carlito" w:hAnsi="Carlito"/>
                <w:b w:val="0"/>
                <w:i w:val="0"/>
                <w:sz w:val="19"/>
              </w:rPr>
              <w:t>1.58</w:t>
            </w:r>
          </w:p>
        </w:tc>
        <w:tc>
          <w:tcPr>
            <w:tcW w:type="dxa" w:w="1123"/>
          </w:tcPr>
          <w:p>
            <w:pPr>
              <w:spacing w:before="20" w:after="20" w:line="254" w:lineRule="auto"/>
            </w:pPr>
            <w:r>
              <w:rPr>
                <w:rFonts w:ascii="Carlito" w:hAnsi="Carlito"/>
                <w:b w:val="0"/>
                <w:i w:val="0"/>
                <w:sz w:val="19"/>
              </w:rPr>
              <w:t>4.1</w:t>
            </w:r>
          </w:p>
        </w:tc>
        <w:tc>
          <w:tcPr>
            <w:tcW w:type="dxa" w:w="842"/>
          </w:tcPr>
          <w:p>
            <w:pPr>
              <w:spacing w:before="20" w:after="20" w:line="254" w:lineRule="auto"/>
            </w:pPr>
            <w:r>
              <w:rPr>
                <w:rFonts w:ascii="Carlito" w:hAnsi="Carlito"/>
                <w:b w:val="0"/>
                <w:i w:val="0"/>
                <w:sz w:val="19"/>
              </w:rPr>
              <w:t>17.7</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TVX-010</w:t>
            </w:r>
          </w:p>
        </w:tc>
        <w:tc>
          <w:tcPr>
            <w:tcW w:type="dxa" w:w="1030"/>
          </w:tcPr>
          <w:p>
            <w:pPr>
              <w:spacing w:before="20" w:after="20" w:line="254" w:lineRule="auto"/>
            </w:pPr>
            <w:r>
              <w:rPr>
                <w:rFonts w:ascii="Carlito" w:hAnsi="Carlito"/>
                <w:b w:val="0"/>
                <w:i w:val="0"/>
                <w:sz w:val="19"/>
              </w:rPr>
              <w:t>59 F</w:t>
            </w:r>
          </w:p>
        </w:tc>
        <w:tc>
          <w:tcPr>
            <w:tcW w:type="dxa" w:w="936"/>
          </w:tcPr>
          <w:p>
            <w:pPr>
              <w:spacing w:before="20" w:after="20" w:line="254" w:lineRule="auto"/>
            </w:pPr>
            <w:r>
              <w:rPr>
                <w:rFonts w:ascii="Carlito" w:hAnsi="Carlito"/>
                <w:b w:val="0"/>
                <w:i w:val="0"/>
                <w:sz w:val="19"/>
              </w:rPr>
              <w:t>33</w:t>
            </w:r>
          </w:p>
        </w:tc>
        <w:tc>
          <w:tcPr>
            <w:tcW w:type="dxa" w:w="1123"/>
          </w:tcPr>
          <w:p>
            <w:pPr>
              <w:spacing w:before="20" w:after="20" w:line="254" w:lineRule="auto"/>
            </w:pPr>
            <w:r>
              <w:rPr>
                <w:rFonts w:ascii="Carlito" w:hAnsi="Carlito"/>
                <w:b w:val="0"/>
                <w:i w:val="0"/>
                <w:sz w:val="19"/>
              </w:rPr>
              <w:t>4.8</w:t>
            </w:r>
          </w:p>
        </w:tc>
        <w:tc>
          <w:tcPr>
            <w:tcW w:type="dxa" w:w="1123"/>
          </w:tcPr>
          <w:p>
            <w:pPr>
              <w:spacing w:before="20" w:after="20" w:line="254" w:lineRule="auto"/>
            </w:pPr>
            <w:r>
              <w:rPr>
                <w:rFonts w:ascii="Carlito" w:hAnsi="Carlito"/>
                <w:b w:val="0"/>
                <w:i w:val="0"/>
                <w:sz w:val="19"/>
              </w:rPr>
              <w:t>4.33</w:t>
            </w:r>
          </w:p>
        </w:tc>
        <w:tc>
          <w:tcPr>
            <w:tcW w:type="dxa" w:w="1123"/>
          </w:tcPr>
          <w:p>
            <w:pPr>
              <w:spacing w:before="20" w:after="20" w:line="254" w:lineRule="auto"/>
            </w:pPr>
            <w:r>
              <w:rPr>
                <w:rFonts w:ascii="Carlito" w:hAnsi="Carlito"/>
                <w:b w:val="0"/>
                <w:i w:val="0"/>
                <w:sz w:val="19"/>
              </w:rPr>
              <w:t>3.0</w:t>
            </w:r>
          </w:p>
        </w:tc>
        <w:tc>
          <w:tcPr>
            <w:tcW w:type="dxa" w:w="842"/>
          </w:tcPr>
          <w:p>
            <w:pPr>
              <w:spacing w:before="20" w:after="20" w:line="254" w:lineRule="auto"/>
            </w:pPr>
            <w:r>
              <w:rPr>
                <w:rFonts w:ascii="Carlito" w:hAnsi="Carlito"/>
                <w:b w:val="0"/>
                <w:i w:val="0"/>
                <w:sz w:val="19"/>
              </w:rPr>
              <w:t>1.1</w:t>
            </w:r>
          </w:p>
        </w:tc>
        <w:tc>
          <w:tcPr>
            <w:tcW w:type="dxa" w:w="1966"/>
          </w:tcPr>
          <w:p>
            <w:pPr>
              <w:spacing w:before="20" w:after="20" w:line="254" w:lineRule="auto"/>
            </w:pPr>
            <w:r>
              <w:rPr>
                <w:rFonts w:ascii="Carlito" w:hAnsi="Carlito"/>
                <w:b w:val="0"/>
                <w:i w:val="0"/>
                <w:sz w:val="19"/>
              </w:rPr>
              <w:t>Cholestatic</w:t>
            </w:r>
          </w:p>
        </w:tc>
      </w:tr>
      <w:tr>
        <w:tc>
          <w:tcPr>
            <w:tcW w:type="dxa" w:w="1217"/>
          </w:tcPr>
          <w:p>
            <w:pPr>
              <w:spacing w:before="20" w:after="20" w:line="254" w:lineRule="auto"/>
            </w:pPr>
            <w:r>
              <w:rPr>
                <w:rFonts w:ascii="Carlito" w:hAnsi="Carlito"/>
                <w:b w:val="0"/>
                <w:i w:val="0"/>
                <w:sz w:val="19"/>
              </w:rPr>
              <w:t>TVX-011</w:t>
            </w:r>
          </w:p>
        </w:tc>
        <w:tc>
          <w:tcPr>
            <w:tcW w:type="dxa" w:w="1030"/>
          </w:tcPr>
          <w:p>
            <w:pPr>
              <w:spacing w:before="20" w:after="20" w:line="254" w:lineRule="auto"/>
            </w:pPr>
            <w:r>
              <w:rPr>
                <w:rFonts w:ascii="Carlito" w:hAnsi="Carlito"/>
                <w:b w:val="0"/>
                <w:i w:val="0"/>
                <w:sz w:val="19"/>
              </w:rPr>
              <w:t>66 M</w:t>
            </w:r>
          </w:p>
        </w:tc>
        <w:tc>
          <w:tcPr>
            <w:tcW w:type="dxa" w:w="936"/>
          </w:tcPr>
          <w:p>
            <w:pPr>
              <w:spacing w:before="20" w:after="20" w:line="254" w:lineRule="auto"/>
            </w:pPr>
            <w:r>
              <w:rPr>
                <w:rFonts w:ascii="Carlito" w:hAnsi="Carlito"/>
                <w:b w:val="0"/>
                <w:i w:val="0"/>
                <w:sz w:val="19"/>
              </w:rPr>
              <w:t>45</w:t>
            </w:r>
          </w:p>
        </w:tc>
        <w:tc>
          <w:tcPr>
            <w:tcW w:type="dxa" w:w="1123"/>
          </w:tcPr>
          <w:p>
            <w:pPr>
              <w:spacing w:before="20" w:after="20" w:line="254" w:lineRule="auto"/>
            </w:pPr>
            <w:r>
              <w:rPr>
                <w:rFonts w:ascii="Carlito" w:hAnsi="Carlito"/>
                <w:b w:val="0"/>
                <w:i w:val="0"/>
                <w:sz w:val="19"/>
              </w:rPr>
              <w:t>32.8</w:t>
            </w:r>
          </w:p>
        </w:tc>
        <w:tc>
          <w:tcPr>
            <w:tcW w:type="dxa" w:w="1123"/>
          </w:tcPr>
          <w:p>
            <w:pPr>
              <w:spacing w:before="20" w:after="20" w:line="254" w:lineRule="auto"/>
            </w:pPr>
            <w:r>
              <w:rPr>
                <w:rFonts w:ascii="Carlito" w:hAnsi="Carlito"/>
                <w:b w:val="0"/>
                <w:i w:val="0"/>
                <w:sz w:val="19"/>
              </w:rPr>
              <w:t>1.40</w:t>
            </w:r>
          </w:p>
        </w:tc>
        <w:tc>
          <w:tcPr>
            <w:tcW w:type="dxa" w:w="1123"/>
          </w:tcPr>
          <w:p>
            <w:pPr>
              <w:spacing w:before="20" w:after="20" w:line="254" w:lineRule="auto"/>
            </w:pPr>
            <w:r>
              <w:rPr>
                <w:rFonts w:ascii="Carlito" w:hAnsi="Carlito"/>
                <w:b w:val="0"/>
                <w:i w:val="0"/>
                <w:sz w:val="19"/>
              </w:rPr>
              <w:t>7.7</w:t>
            </w:r>
          </w:p>
        </w:tc>
        <w:tc>
          <w:tcPr>
            <w:tcW w:type="dxa" w:w="842"/>
          </w:tcPr>
          <w:p>
            <w:pPr>
              <w:spacing w:before="20" w:after="20" w:line="254" w:lineRule="auto"/>
            </w:pPr>
            <w:r>
              <w:rPr>
                <w:rFonts w:ascii="Carlito" w:hAnsi="Carlito"/>
                <w:b w:val="0"/>
                <w:i w:val="0"/>
                <w:sz w:val="19"/>
              </w:rPr>
              <w:t>23.4</w:t>
            </w:r>
          </w:p>
        </w:tc>
        <w:tc>
          <w:tcPr>
            <w:tcW w:type="dxa" w:w="1966"/>
          </w:tcPr>
          <w:p>
            <w:pPr>
              <w:spacing w:before="20" w:after="20" w:line="254" w:lineRule="auto"/>
            </w:pPr>
            <w:r>
              <w:rPr>
                <w:rFonts w:ascii="Carlito" w:hAnsi="Carlito"/>
                <w:b w:val="0"/>
                <w:i w:val="0"/>
                <w:sz w:val="19"/>
              </w:rPr>
              <w:t>Hepatocellular</w:t>
            </w:r>
          </w:p>
        </w:tc>
      </w:tr>
      <w:tr>
        <w:tc>
          <w:tcPr>
            <w:tcW w:type="dxa" w:w="1217"/>
          </w:tcPr>
          <w:p>
            <w:pPr>
              <w:spacing w:before="20" w:after="20" w:line="254" w:lineRule="auto"/>
            </w:pPr>
            <w:r>
              <w:rPr>
                <w:rFonts w:ascii="Carlito" w:hAnsi="Carlito"/>
                <w:b w:val="0"/>
                <w:i w:val="0"/>
                <w:sz w:val="19"/>
              </w:rPr>
              <w:t>TVX-012</w:t>
            </w:r>
          </w:p>
        </w:tc>
        <w:tc>
          <w:tcPr>
            <w:tcW w:type="dxa" w:w="1030"/>
          </w:tcPr>
          <w:p>
            <w:pPr>
              <w:spacing w:before="20" w:after="20" w:line="254" w:lineRule="auto"/>
            </w:pPr>
            <w:r>
              <w:rPr>
                <w:rFonts w:ascii="Carlito" w:hAnsi="Carlito"/>
                <w:b w:val="0"/>
                <w:i w:val="0"/>
                <w:sz w:val="19"/>
              </w:rPr>
              <w:t>51 F</w:t>
            </w:r>
          </w:p>
        </w:tc>
        <w:tc>
          <w:tcPr>
            <w:tcW w:type="dxa" w:w="936"/>
          </w:tcPr>
          <w:p>
            <w:pPr>
              <w:spacing w:before="20" w:after="20" w:line="254" w:lineRule="auto"/>
            </w:pPr>
            <w:r>
              <w:rPr>
                <w:rFonts w:ascii="Carlito" w:hAnsi="Carlito"/>
                <w:b w:val="0"/>
                <w:i w:val="0"/>
                <w:sz w:val="19"/>
              </w:rPr>
              <w:t>90</w:t>
            </w:r>
          </w:p>
        </w:tc>
        <w:tc>
          <w:tcPr>
            <w:tcW w:type="dxa" w:w="1123"/>
          </w:tcPr>
          <w:p>
            <w:pPr>
              <w:spacing w:before="20" w:after="20" w:line="254" w:lineRule="auto"/>
            </w:pPr>
            <w:r>
              <w:rPr>
                <w:rFonts w:ascii="Carlito" w:hAnsi="Carlito"/>
                <w:b w:val="0"/>
                <w:i w:val="0"/>
                <w:sz w:val="19"/>
              </w:rPr>
              <w:t>15.3</w:t>
            </w:r>
          </w:p>
        </w:tc>
        <w:tc>
          <w:tcPr>
            <w:tcW w:type="dxa" w:w="1123"/>
          </w:tcPr>
          <w:p>
            <w:pPr>
              <w:spacing w:before="20" w:after="20" w:line="254" w:lineRule="auto"/>
            </w:pPr>
            <w:r>
              <w:rPr>
                <w:rFonts w:ascii="Carlito" w:hAnsi="Carlito"/>
                <w:b w:val="0"/>
                <w:i w:val="0"/>
                <w:sz w:val="19"/>
              </w:rPr>
              <w:t>0.98</w:t>
            </w:r>
          </w:p>
        </w:tc>
        <w:tc>
          <w:tcPr>
            <w:tcW w:type="dxa" w:w="1123"/>
          </w:tcPr>
          <w:p>
            <w:pPr>
              <w:spacing w:before="20" w:after="20" w:line="254" w:lineRule="auto"/>
            </w:pPr>
            <w:r>
              <w:rPr>
                <w:rFonts w:ascii="Carlito" w:hAnsi="Carlito"/>
                <w:b w:val="0"/>
                <w:i w:val="0"/>
                <w:sz w:val="19"/>
              </w:rPr>
              <w:t>1.5</w:t>
            </w:r>
          </w:p>
        </w:tc>
        <w:tc>
          <w:tcPr>
            <w:tcW w:type="dxa" w:w="842"/>
          </w:tcPr>
          <w:p>
            <w:pPr>
              <w:spacing w:before="20" w:after="20" w:line="254" w:lineRule="auto"/>
            </w:pPr>
            <w:r>
              <w:rPr>
                <w:rFonts w:ascii="Carlito" w:hAnsi="Carlito"/>
                <w:b w:val="0"/>
                <w:i w:val="0"/>
                <w:sz w:val="19"/>
              </w:rPr>
              <w:t>15.5</w:t>
            </w:r>
          </w:p>
        </w:tc>
        <w:tc>
          <w:tcPr>
            <w:tcW w:type="dxa" w:w="1966"/>
          </w:tcPr>
          <w:p>
            <w:pPr>
              <w:spacing w:before="20" w:after="20" w:line="254" w:lineRule="auto"/>
            </w:pPr>
            <w:r>
              <w:rPr>
                <w:rFonts w:ascii="Carlito" w:hAnsi="Carlito"/>
                <w:b w:val="0"/>
                <w:i w:val="0"/>
                <w:sz w:val="19"/>
              </w:rPr>
              <w:t>Hepatocellular</w:t>
            </w:r>
          </w:p>
        </w:tc>
      </w:tr>
    </w:tbl>
    <w:p>
      <w:pPr>
        <w:spacing w:after="40"/>
      </w:pPr>
    </w:p>
    <w:tbl>
      <w:tblPr>
        <w:tblStyle w:val="ToolkitTable"/>
        <w:tblW w:type="auto" w:w="0"/>
        <w:jc w:val="left"/>
        <w:tblLayout w:type="fixed"/>
        <w:tblLook w:val="04A0" w:firstRow="1" w:lastRow="0" w:firstColumn="0" w:lastColumn="0" w:noHBand="0" w:noVBand="1"/>
      </w:tblPr>
      <w:tblGrid>
        <w:gridCol w:w="1030"/>
        <w:gridCol w:w="2340"/>
        <w:gridCol w:w="1217"/>
        <w:gridCol w:w="1310"/>
        <w:gridCol w:w="1217"/>
        <w:gridCol w:w="2246"/>
      </w:tblGrid>
      <w:tr>
        <w:trPr>
          <w:tblHeader/>
        </w:trPr>
        <w:tc>
          <w:tcPr>
            <w:tcW w:type="dxa" w:w="1030"/>
          </w:tcPr>
          <w:p>
            <w:pPr>
              <w:spacing w:before="20" w:after="20" w:line="254" w:lineRule="auto"/>
            </w:pPr>
            <w:r>
              <w:rPr>
                <w:rFonts w:ascii="Carlito" w:hAnsi="Carlito"/>
                <w:b/>
                <w:i w:val="0"/>
                <w:color w:val="FFFFFF"/>
                <w:sz w:val="19"/>
              </w:rPr>
              <w:t>Case</w:t>
            </w:r>
          </w:p>
        </w:tc>
        <w:tc>
          <w:tcPr>
            <w:tcW w:type="dxa" w:w="2340"/>
          </w:tcPr>
          <w:p>
            <w:pPr>
              <w:spacing w:before="20" w:after="20" w:line="254" w:lineRule="auto"/>
            </w:pPr>
            <w:r>
              <w:rPr>
                <w:rFonts w:ascii="Carlito" w:hAnsi="Carlito"/>
                <w:b/>
                <w:i w:val="0"/>
                <w:color w:val="FFFFFF"/>
                <w:sz w:val="19"/>
              </w:rPr>
              <w:t>Concomitants / alternative cause</w:t>
            </w:r>
          </w:p>
        </w:tc>
        <w:tc>
          <w:tcPr>
            <w:tcW w:type="dxa" w:w="1217"/>
          </w:tcPr>
          <w:p>
            <w:pPr>
              <w:spacing w:before="20" w:after="20" w:line="254" w:lineRule="auto"/>
            </w:pPr>
            <w:r>
              <w:rPr>
                <w:rFonts w:ascii="Carlito" w:hAnsi="Carlito"/>
                <w:b/>
                <w:i w:val="0"/>
                <w:color w:val="FFFFFF"/>
                <w:sz w:val="19"/>
              </w:rPr>
              <w:t>Dechallenge</w:t>
            </w:r>
          </w:p>
        </w:tc>
        <w:tc>
          <w:tcPr>
            <w:tcW w:type="dxa" w:w="1310"/>
          </w:tcPr>
          <w:p>
            <w:pPr>
              <w:spacing w:before="20" w:after="20" w:line="254" w:lineRule="auto"/>
            </w:pPr>
            <w:r>
              <w:rPr>
                <w:rFonts w:ascii="Carlito" w:hAnsi="Carlito"/>
                <w:b/>
                <w:i w:val="0"/>
                <w:color w:val="FFFFFF"/>
                <w:sz w:val="19"/>
              </w:rPr>
              <w:t>Rechallenge</w:t>
            </w:r>
          </w:p>
        </w:tc>
        <w:tc>
          <w:tcPr>
            <w:tcW w:type="dxa" w:w="1217"/>
          </w:tcPr>
          <w:p>
            <w:pPr>
              <w:spacing w:before="20" w:after="20" w:line="254" w:lineRule="auto"/>
            </w:pPr>
            <w:r>
              <w:rPr>
                <w:rFonts w:ascii="Carlito" w:hAnsi="Carlito"/>
                <w:b/>
                <w:i w:val="0"/>
                <w:color w:val="FFFFFF"/>
                <w:sz w:val="19"/>
              </w:rPr>
              <w:t>Outcome</w:t>
            </w:r>
          </w:p>
        </w:tc>
        <w:tc>
          <w:tcPr>
            <w:tcW w:type="dxa" w:w="2246"/>
          </w:tcPr>
          <w:p>
            <w:pPr>
              <w:spacing w:before="20" w:after="20" w:line="254" w:lineRule="auto"/>
            </w:pPr>
            <w:r>
              <w:rPr>
                <w:rFonts w:ascii="Carlito" w:hAnsi="Carlito"/>
                <w:b/>
                <w:i w:val="0"/>
                <w:color w:val="FFFFFF"/>
                <w:sz w:val="19"/>
              </w:rPr>
              <w:t>Reviewer assessment</w:t>
            </w:r>
          </w:p>
        </w:tc>
      </w:tr>
      <w:tr>
        <w:tc>
          <w:tcPr>
            <w:tcW w:type="dxa" w:w="1030"/>
          </w:tcPr>
          <w:p>
            <w:pPr>
              <w:spacing w:before="20" w:after="20" w:line="254" w:lineRule="auto"/>
            </w:pPr>
            <w:r>
              <w:rPr>
                <w:rFonts w:ascii="Carlito" w:hAnsi="Carlito"/>
                <w:b w:val="0"/>
                <w:i w:val="0"/>
                <w:sz w:val="19"/>
              </w:rPr>
              <w:t>TVX-001</w:t>
            </w:r>
          </w:p>
        </w:tc>
        <w:tc>
          <w:tcPr>
            <w:tcW w:type="dxa" w:w="2340"/>
          </w:tcPr>
          <w:p>
            <w:pPr>
              <w:spacing w:before="20" w:after="20" w:line="254" w:lineRule="auto"/>
            </w:pPr>
            <w:r>
              <w:rPr>
                <w:rFonts w:ascii="Carlito" w:hAnsi="Carlito"/>
                <w:b w:val="0"/>
                <w:i w:val="0"/>
                <w:sz w:val="19"/>
              </w:rPr>
              <w:t>Cardiac congestion</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Confounded</w:t>
            </w:r>
          </w:p>
        </w:tc>
      </w:tr>
      <w:tr>
        <w:tc>
          <w:tcPr>
            <w:tcW w:type="dxa" w:w="1030"/>
          </w:tcPr>
          <w:p>
            <w:pPr>
              <w:spacing w:before="20" w:after="20" w:line="254" w:lineRule="auto"/>
            </w:pPr>
            <w:r>
              <w:rPr>
                <w:rFonts w:ascii="Carlito" w:hAnsi="Carlito"/>
                <w:b w:val="0"/>
                <w:i w:val="0"/>
                <w:sz w:val="19"/>
              </w:rPr>
              <w:t>TVX-002</w:t>
            </w:r>
          </w:p>
        </w:tc>
        <w:tc>
          <w:tcPr>
            <w:tcW w:type="dxa" w:w="2340"/>
          </w:tcPr>
          <w:p>
            <w:pPr>
              <w:spacing w:before="20" w:after="20" w:line="254" w:lineRule="auto"/>
            </w:pPr>
            <w:r>
              <w:rPr>
                <w:rFonts w:ascii="Carlito" w:hAnsi="Carlito"/>
                <w:b w:val="0"/>
                <w:i w:val="0"/>
                <w:sz w:val="19"/>
              </w:rPr>
              <w:t>Serology NR</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Unclassifiable</w:t>
            </w:r>
          </w:p>
        </w:tc>
      </w:tr>
      <w:tr>
        <w:tc>
          <w:tcPr>
            <w:tcW w:type="dxa" w:w="1030"/>
          </w:tcPr>
          <w:p>
            <w:pPr>
              <w:spacing w:before="20" w:after="20" w:line="254" w:lineRule="auto"/>
            </w:pPr>
            <w:r>
              <w:rPr>
                <w:rFonts w:ascii="Carlito" w:hAnsi="Carlito"/>
                <w:b w:val="0"/>
                <w:i w:val="0"/>
                <w:sz w:val="19"/>
              </w:rPr>
              <w:t>TVX-003</w:t>
            </w:r>
          </w:p>
        </w:tc>
        <w:tc>
          <w:tcPr>
            <w:tcW w:type="dxa" w:w="2340"/>
          </w:tcPr>
          <w:p>
            <w:pPr>
              <w:spacing w:before="20" w:after="20" w:line="254" w:lineRule="auto"/>
            </w:pPr>
            <w:r>
              <w:rPr>
                <w:rFonts w:ascii="Carlito" w:hAnsi="Carlito"/>
                <w:b w:val="0"/>
                <w:i w:val="0"/>
                <w:sz w:val="19"/>
              </w:rPr>
              <w:t>Paracetamol PRN; serology NR</w:t>
            </w:r>
          </w:p>
        </w:tc>
        <w:tc>
          <w:tcPr>
            <w:tcW w:type="dxa" w:w="1217"/>
          </w:tcPr>
          <w:p>
            <w:pPr>
              <w:spacing w:before="20" w:after="20" w:line="254" w:lineRule="auto"/>
            </w:pPr>
            <w:r>
              <w:rPr>
                <w:rFonts w:ascii="Carlito" w:hAnsi="Carlito"/>
                <w:b w:val="0"/>
                <w:i w:val="0"/>
                <w:sz w:val="19"/>
              </w:rPr>
              <w:t>NR</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Unknown</w:t>
            </w:r>
          </w:p>
        </w:tc>
        <w:tc>
          <w:tcPr>
            <w:tcW w:type="dxa" w:w="2246"/>
          </w:tcPr>
          <w:p>
            <w:pPr>
              <w:spacing w:before="20" w:after="20" w:line="254" w:lineRule="auto"/>
            </w:pPr>
            <w:r>
              <w:rPr>
                <w:rFonts w:ascii="Carlito" w:hAnsi="Carlito"/>
                <w:b w:val="0"/>
                <w:i w:val="0"/>
                <w:sz w:val="19"/>
              </w:rPr>
              <w:t>Unclassifiable</w:t>
            </w:r>
          </w:p>
        </w:tc>
      </w:tr>
      <w:tr>
        <w:tc>
          <w:tcPr>
            <w:tcW w:type="dxa" w:w="1030"/>
          </w:tcPr>
          <w:p>
            <w:pPr>
              <w:spacing w:before="20" w:after="20" w:line="254" w:lineRule="auto"/>
            </w:pPr>
            <w:r>
              <w:rPr>
                <w:rFonts w:ascii="Carlito" w:hAnsi="Carlito"/>
                <w:b w:val="0"/>
                <w:i w:val="0"/>
                <w:sz w:val="19"/>
              </w:rPr>
              <w:t>TVX-004</w:t>
            </w:r>
          </w:p>
        </w:tc>
        <w:tc>
          <w:tcPr>
            <w:tcW w:type="dxa" w:w="2340"/>
          </w:tcPr>
          <w:p>
            <w:pPr>
              <w:spacing w:before="20" w:after="20" w:line="254" w:lineRule="auto"/>
            </w:pPr>
            <w:r>
              <w:rPr>
                <w:rFonts w:ascii="Carlito" w:hAnsi="Carlito"/>
                <w:b w:val="0"/>
                <w:i w:val="0"/>
                <w:sz w:val="19"/>
              </w:rPr>
              <w:t>Serology NR</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Recovering</w:t>
            </w:r>
          </w:p>
        </w:tc>
        <w:tc>
          <w:tcPr>
            <w:tcW w:type="dxa" w:w="2246"/>
          </w:tcPr>
          <w:p>
            <w:pPr>
              <w:spacing w:before="20" w:after="20" w:line="254" w:lineRule="auto"/>
            </w:pPr>
            <w:r>
              <w:rPr>
                <w:rFonts w:ascii="Carlito" w:hAnsi="Carlito"/>
                <w:b w:val="0"/>
                <w:i w:val="0"/>
                <w:sz w:val="19"/>
              </w:rPr>
              <w:t>Unclassifiable</w:t>
            </w:r>
          </w:p>
        </w:tc>
      </w:tr>
      <w:tr>
        <w:tc>
          <w:tcPr>
            <w:tcW w:type="dxa" w:w="1030"/>
          </w:tcPr>
          <w:p>
            <w:pPr>
              <w:spacing w:before="20" w:after="20" w:line="254" w:lineRule="auto"/>
            </w:pPr>
            <w:r>
              <w:rPr>
                <w:rFonts w:ascii="Carlito" w:hAnsi="Carlito"/>
                <w:b w:val="0"/>
                <w:i w:val="0"/>
                <w:sz w:val="19"/>
              </w:rPr>
              <w:t>TVX-005</w:t>
            </w:r>
          </w:p>
        </w:tc>
        <w:tc>
          <w:tcPr>
            <w:tcW w:type="dxa" w:w="2340"/>
          </w:tcPr>
          <w:p>
            <w:pPr>
              <w:spacing w:before="20" w:after="20" w:line="254" w:lineRule="auto"/>
            </w:pPr>
            <w:r>
              <w:rPr>
                <w:rFonts w:ascii="Carlito" w:hAnsi="Carlito"/>
                <w:b w:val="0"/>
                <w:i w:val="0"/>
                <w:sz w:val="19"/>
              </w:rPr>
              <w:t>Hepatitis E IgM+</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Confounded</w:t>
            </w:r>
          </w:p>
        </w:tc>
      </w:tr>
      <w:tr>
        <w:tc>
          <w:tcPr>
            <w:tcW w:type="dxa" w:w="1030"/>
          </w:tcPr>
          <w:p>
            <w:pPr>
              <w:spacing w:before="20" w:after="20" w:line="254" w:lineRule="auto"/>
            </w:pPr>
            <w:r>
              <w:rPr>
                <w:rFonts w:ascii="Carlito" w:hAnsi="Carlito"/>
                <w:b w:val="0"/>
                <w:i w:val="0"/>
                <w:sz w:val="19"/>
              </w:rPr>
              <w:t>TVX-006</w:t>
            </w:r>
          </w:p>
        </w:tc>
        <w:tc>
          <w:tcPr>
            <w:tcW w:type="dxa" w:w="2340"/>
          </w:tcPr>
          <w:p>
            <w:pPr>
              <w:spacing w:before="20" w:after="20" w:line="254" w:lineRule="auto"/>
            </w:pPr>
            <w:r>
              <w:rPr>
                <w:rFonts w:ascii="Carlito" w:hAnsi="Carlito"/>
                <w:b w:val="0"/>
                <w:i w:val="0"/>
                <w:sz w:val="19"/>
              </w:rPr>
              <w:t>None found</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Possible, related</w:t>
            </w:r>
          </w:p>
        </w:tc>
      </w:tr>
      <w:tr>
        <w:tc>
          <w:tcPr>
            <w:tcW w:type="dxa" w:w="1030"/>
          </w:tcPr>
          <w:p>
            <w:pPr>
              <w:spacing w:before="20" w:after="20" w:line="254" w:lineRule="auto"/>
            </w:pPr>
            <w:r>
              <w:rPr>
                <w:rFonts w:ascii="Carlito" w:hAnsi="Carlito"/>
                <w:b w:val="0"/>
                <w:i w:val="0"/>
                <w:sz w:val="19"/>
              </w:rPr>
              <w:t>TVX-007</w:t>
            </w:r>
          </w:p>
        </w:tc>
        <w:tc>
          <w:tcPr>
            <w:tcW w:type="dxa" w:w="2340"/>
          </w:tcPr>
          <w:p>
            <w:pPr>
              <w:spacing w:before="20" w:after="20" w:line="254" w:lineRule="auto"/>
            </w:pPr>
            <w:r>
              <w:rPr>
                <w:rFonts w:ascii="Carlito" w:hAnsi="Carlito"/>
                <w:b w:val="0"/>
                <w:i w:val="0"/>
                <w:sz w:val="19"/>
              </w:rPr>
              <w:t>None found</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Transplant</w:t>
            </w:r>
          </w:p>
        </w:tc>
        <w:tc>
          <w:tcPr>
            <w:tcW w:type="dxa" w:w="2246"/>
          </w:tcPr>
          <w:p>
            <w:pPr>
              <w:spacing w:before="20" w:after="20" w:line="254" w:lineRule="auto"/>
            </w:pPr>
            <w:r>
              <w:rPr>
                <w:rFonts w:ascii="Carlito" w:hAnsi="Carlito"/>
                <w:b w:val="0"/>
                <w:i w:val="0"/>
                <w:sz w:val="19"/>
              </w:rPr>
              <w:t>Hy's Law case</w:t>
            </w:r>
          </w:p>
        </w:tc>
      </w:tr>
      <w:tr>
        <w:tc>
          <w:tcPr>
            <w:tcW w:type="dxa" w:w="1030"/>
          </w:tcPr>
          <w:p>
            <w:pPr>
              <w:spacing w:before="20" w:after="20" w:line="254" w:lineRule="auto"/>
            </w:pPr>
            <w:r>
              <w:rPr>
                <w:rFonts w:ascii="Carlito" w:hAnsi="Carlito"/>
                <w:b w:val="0"/>
                <w:i w:val="0"/>
                <w:sz w:val="19"/>
              </w:rPr>
              <w:t>TVX-008</w:t>
            </w:r>
          </w:p>
        </w:tc>
        <w:tc>
          <w:tcPr>
            <w:tcW w:type="dxa" w:w="2340"/>
          </w:tcPr>
          <w:p>
            <w:pPr>
              <w:spacing w:before="20" w:after="20" w:line="254" w:lineRule="auto"/>
            </w:pPr>
            <w:r>
              <w:rPr>
                <w:rFonts w:ascii="Carlito" w:hAnsi="Carlito"/>
                <w:b w:val="0"/>
                <w:i w:val="0"/>
                <w:sz w:val="19"/>
              </w:rPr>
              <w:t>None found</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Possible, R borderline</w:t>
            </w:r>
          </w:p>
        </w:tc>
      </w:tr>
      <w:tr>
        <w:tc>
          <w:tcPr>
            <w:tcW w:type="dxa" w:w="1030"/>
          </w:tcPr>
          <w:p>
            <w:pPr>
              <w:spacing w:before="20" w:after="20" w:line="254" w:lineRule="auto"/>
            </w:pPr>
            <w:r>
              <w:rPr>
                <w:rFonts w:ascii="Carlito" w:hAnsi="Carlito"/>
                <w:b w:val="0"/>
                <w:i w:val="0"/>
                <w:sz w:val="19"/>
              </w:rPr>
              <w:t>TVX-009</w:t>
            </w:r>
          </w:p>
        </w:tc>
        <w:tc>
          <w:tcPr>
            <w:tcW w:type="dxa" w:w="2340"/>
          </w:tcPr>
          <w:p>
            <w:pPr>
              <w:spacing w:before="20" w:after="20" w:line="254" w:lineRule="auto"/>
            </w:pPr>
            <w:r>
              <w:rPr>
                <w:rFonts w:ascii="Carlito" w:hAnsi="Carlito"/>
                <w:b w:val="0"/>
                <w:i w:val="0"/>
                <w:sz w:val="19"/>
              </w:rPr>
              <w:t>Hepatitis E RNA+</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Confounded</w:t>
            </w:r>
          </w:p>
        </w:tc>
      </w:tr>
      <w:tr>
        <w:tc>
          <w:tcPr>
            <w:tcW w:type="dxa" w:w="1030"/>
          </w:tcPr>
          <w:p>
            <w:pPr>
              <w:spacing w:before="20" w:after="20" w:line="254" w:lineRule="auto"/>
            </w:pPr>
            <w:r>
              <w:rPr>
                <w:rFonts w:ascii="Carlito" w:hAnsi="Carlito"/>
                <w:b w:val="0"/>
                <w:i w:val="0"/>
                <w:sz w:val="19"/>
              </w:rPr>
              <w:t>TVX-010</w:t>
            </w:r>
          </w:p>
        </w:tc>
        <w:tc>
          <w:tcPr>
            <w:tcW w:type="dxa" w:w="2340"/>
          </w:tcPr>
          <w:p>
            <w:pPr>
              <w:spacing w:before="20" w:after="20" w:line="254" w:lineRule="auto"/>
            </w:pPr>
            <w:r>
              <w:rPr>
                <w:rFonts w:ascii="Carlito" w:hAnsi="Carlito"/>
                <w:b w:val="0"/>
                <w:i w:val="0"/>
                <w:sz w:val="19"/>
              </w:rPr>
              <w:t>Amoxicillin-clavulanate</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Recovered</w:t>
            </w:r>
          </w:p>
        </w:tc>
        <w:tc>
          <w:tcPr>
            <w:tcW w:type="dxa" w:w="2246"/>
          </w:tcPr>
          <w:p>
            <w:pPr>
              <w:spacing w:before="20" w:after="20" w:line="254" w:lineRule="auto"/>
            </w:pPr>
            <w:r>
              <w:rPr>
                <w:rFonts w:ascii="Carlito" w:hAnsi="Carlito"/>
                <w:b w:val="0"/>
                <w:i w:val="0"/>
                <w:sz w:val="19"/>
              </w:rPr>
              <w:t>Confounded</w:t>
            </w:r>
          </w:p>
        </w:tc>
      </w:tr>
      <w:tr>
        <w:tc>
          <w:tcPr>
            <w:tcW w:type="dxa" w:w="1030"/>
          </w:tcPr>
          <w:p>
            <w:pPr>
              <w:spacing w:before="20" w:after="20" w:line="254" w:lineRule="auto"/>
            </w:pPr>
            <w:r>
              <w:rPr>
                <w:rFonts w:ascii="Carlito" w:hAnsi="Carlito"/>
                <w:b w:val="0"/>
                <w:i w:val="0"/>
                <w:sz w:val="19"/>
              </w:rPr>
              <w:t>TVX-011</w:t>
            </w:r>
          </w:p>
        </w:tc>
        <w:tc>
          <w:tcPr>
            <w:tcW w:type="dxa" w:w="2340"/>
          </w:tcPr>
          <w:p>
            <w:pPr>
              <w:spacing w:before="20" w:after="20" w:line="254" w:lineRule="auto"/>
            </w:pPr>
            <w:r>
              <w:rPr>
                <w:rFonts w:ascii="Carlito" w:hAnsi="Carlito"/>
                <w:b w:val="0"/>
                <w:i w:val="0"/>
                <w:sz w:val="19"/>
              </w:rPr>
              <w:t>None found</w:t>
            </w:r>
          </w:p>
        </w:tc>
        <w:tc>
          <w:tcPr>
            <w:tcW w:type="dxa" w:w="1217"/>
          </w:tcPr>
          <w:p>
            <w:pPr>
              <w:spacing w:before="20" w:after="20" w:line="254" w:lineRule="auto"/>
            </w:pPr>
            <w:r>
              <w:rPr>
                <w:rFonts w:ascii="Carlito" w:hAnsi="Carlito"/>
                <w:b w:val="0"/>
                <w:i w:val="0"/>
                <w:sz w:val="19"/>
              </w:rPr>
              <w:t>Not applicable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Fatal</w:t>
            </w:r>
          </w:p>
        </w:tc>
        <w:tc>
          <w:tcPr>
            <w:tcW w:type="dxa" w:w="2246"/>
          </w:tcPr>
          <w:p>
            <w:pPr>
              <w:spacing w:before="20" w:after="20" w:line="254" w:lineRule="auto"/>
            </w:pPr>
            <w:r>
              <w:rPr>
                <w:rFonts w:ascii="Carlito" w:hAnsi="Carlito"/>
                <w:b w:val="0"/>
                <w:i w:val="0"/>
                <w:sz w:val="19"/>
              </w:rPr>
              <w:t>Hy's Law case</w:t>
            </w:r>
          </w:p>
        </w:tc>
      </w:tr>
      <w:tr>
        <w:tc>
          <w:tcPr>
            <w:tcW w:type="dxa" w:w="1030"/>
          </w:tcPr>
          <w:p>
            <w:pPr>
              <w:spacing w:before="20" w:after="20" w:line="254" w:lineRule="auto"/>
            </w:pPr>
            <w:r>
              <w:rPr>
                <w:rFonts w:ascii="Carlito" w:hAnsi="Carlito"/>
                <w:b w:val="0"/>
                <w:i w:val="0"/>
                <w:sz w:val="19"/>
              </w:rPr>
              <w:t>TVX-012</w:t>
            </w:r>
          </w:p>
        </w:tc>
        <w:tc>
          <w:tcPr>
            <w:tcW w:type="dxa" w:w="2340"/>
          </w:tcPr>
          <w:p>
            <w:pPr>
              <w:spacing w:before="20" w:after="20" w:line="254" w:lineRule="auto"/>
            </w:pPr>
            <w:r>
              <w:rPr>
                <w:rFonts w:ascii="Carlito" w:hAnsi="Carlito"/>
                <w:b w:val="0"/>
                <w:i w:val="0"/>
                <w:sz w:val="19"/>
              </w:rPr>
              <w:t>None found</w:t>
            </w:r>
          </w:p>
        </w:tc>
        <w:tc>
          <w:tcPr>
            <w:tcW w:type="dxa" w:w="1217"/>
          </w:tcPr>
          <w:p>
            <w:pPr>
              <w:spacing w:before="20" w:after="20" w:line="254" w:lineRule="auto"/>
            </w:pPr>
            <w:r>
              <w:rPr>
                <w:rFonts w:ascii="Carlito" w:hAnsi="Carlito"/>
                <w:b w:val="0"/>
                <w:i w:val="0"/>
                <w:sz w:val="19"/>
              </w:rPr>
              <w:t>Positive</w:t>
            </w:r>
          </w:p>
        </w:tc>
        <w:tc>
          <w:tcPr>
            <w:tcW w:type="dxa" w:w="1310"/>
          </w:tcPr>
          <w:p>
            <w:pPr>
              <w:spacing w:before="20" w:after="20" w:line="254" w:lineRule="auto"/>
            </w:pPr>
            <w:r>
              <w:rPr>
                <w:rFonts w:ascii="Carlito" w:hAnsi="Carlito"/>
                <w:b w:val="0"/>
                <w:i w:val="0"/>
                <w:sz w:val="19"/>
              </w:rPr>
              <w:t>ND</w:t>
            </w:r>
          </w:p>
        </w:tc>
        <w:tc>
          <w:tcPr>
            <w:tcW w:type="dxa" w:w="1217"/>
          </w:tcPr>
          <w:p>
            <w:pPr>
              <w:spacing w:before="20" w:after="20" w:line="254" w:lineRule="auto"/>
            </w:pPr>
            <w:r>
              <w:rPr>
                <w:rFonts w:ascii="Carlito" w:hAnsi="Carlito"/>
                <w:b w:val="0"/>
                <w:i w:val="0"/>
                <w:sz w:val="19"/>
              </w:rPr>
              <w:t>Recovering</w:t>
            </w:r>
          </w:p>
        </w:tc>
        <w:tc>
          <w:tcPr>
            <w:tcW w:type="dxa" w:w="2246"/>
          </w:tcPr>
          <w:p>
            <w:pPr>
              <w:spacing w:before="20" w:after="20" w:line="254" w:lineRule="auto"/>
            </w:pPr>
            <w:r>
              <w:rPr>
                <w:rFonts w:ascii="Carlito" w:hAnsi="Carlito"/>
                <w:b w:val="0"/>
                <w:i w:val="0"/>
                <w:sz w:val="19"/>
              </w:rPr>
              <w:t>Possible, related</w:t>
            </w:r>
          </w:p>
        </w:tc>
      </w:tr>
    </w:tbl>
    <w:p>
      <w:pPr>
        <w:spacing w:after="40"/>
      </w:pPr>
    </w:p>
    <w:p>
      <w:pPr>
        <w:pStyle w:val="SubtleNote"/>
      </w:pPr>
      <w:r>
        <w:t>ND = not done; NR = not reported. Rechallenge is recorded as not done in all twelve cases and must never be reported as negative. Hy's Law at the case level means ALT &gt; 3× ULN with total bilirubin &gt; 2× ULN, ALP not substantially elevated, and alternatives excluded (FDA, Drug-Induced Liver Injury: Premarketing Clinical Evaluation, July 2009). Hy's Law itself is a population-level observation.</w:t>
      </w:r>
    </w:p>
    <w:p>
      <w:pPr>
        <w:pStyle w:val="Heading1"/>
      </w:pPr>
      <w:r>
        <w:t>Part C — Quality control, by a reviewer who did not build the series</w:t>
      </w:r>
    </w:p>
    <w:tbl>
      <w:tblPr>
        <w:tblStyle w:val="ToolkitTable"/>
        <w:tblW w:type="auto" w:w="0"/>
        <w:jc w:val="left"/>
        <w:tblLayout w:type="fixed"/>
        <w:tblLook w:val="04A0" w:firstRow="1" w:lastRow="0" w:firstColumn="0" w:lastColumn="0" w:noHBand="0" w:noVBand="1"/>
      </w:tblPr>
      <w:tblGrid>
        <w:gridCol w:w="562"/>
        <w:gridCol w:w="1498"/>
        <w:gridCol w:w="4867"/>
        <w:gridCol w:w="2434"/>
      </w:tblGrid>
      <w:tr>
        <w:trPr>
          <w:tblHeader/>
        </w:trPr>
        <w:tc>
          <w:tcPr>
            <w:tcW w:type="dxa" w:w="562"/>
          </w:tcPr>
          <w:p>
            <w:pPr>
              <w:spacing w:before="20" w:after="20" w:line="254" w:lineRule="auto"/>
            </w:pPr>
            <w:r>
              <w:rPr>
                <w:rFonts w:ascii="Carlito" w:hAnsi="Carlito"/>
                <w:b/>
                <w:i w:val="0"/>
                <w:color w:val="FFFFFF"/>
                <w:sz w:val="19"/>
              </w:rPr>
              <w:t>Step</w:t>
            </w:r>
          </w:p>
        </w:tc>
        <w:tc>
          <w:tcPr>
            <w:tcW w:type="dxa" w:w="1498"/>
          </w:tcPr>
          <w:p>
            <w:pPr>
              <w:spacing w:before="20" w:after="20" w:line="254" w:lineRule="auto"/>
            </w:pPr>
            <w:r>
              <w:rPr>
                <w:rFonts w:ascii="Carlito" w:hAnsi="Carlito"/>
                <w:b/>
                <w:i w:val="0"/>
                <w:color w:val="FFFFFF"/>
                <w:sz w:val="19"/>
              </w:rPr>
              <w:t>Check</w:t>
            </w:r>
          </w:p>
        </w:tc>
        <w:tc>
          <w:tcPr>
            <w:tcW w:type="dxa" w:w="4867"/>
          </w:tcPr>
          <w:p>
            <w:pPr>
              <w:spacing w:before="20" w:after="20" w:line="254" w:lineRule="auto"/>
            </w:pPr>
            <w:r>
              <w:rPr>
                <w:rFonts w:ascii="Carlito" w:hAnsi="Carlito"/>
                <w:b/>
                <w:i w:val="0"/>
                <w:color w:val="FFFFFF"/>
                <w:sz w:val="19"/>
              </w:rPr>
              <w:t>What the QC reviewer records</w:t>
            </w:r>
          </w:p>
        </w:tc>
        <w:tc>
          <w:tcPr>
            <w:tcW w:type="dxa" w:w="2434"/>
          </w:tcPr>
          <w:p>
            <w:pPr>
              <w:spacing w:before="20" w:after="20" w:line="254" w:lineRule="auto"/>
            </w:pPr>
            <w:r>
              <w:rPr>
                <w:rFonts w:ascii="Carlito" w:hAnsi="Carlito"/>
                <w:b/>
                <w:i w:val="0"/>
                <w:color w:val="FFFFFF"/>
                <w:sz w:val="19"/>
              </w:rPr>
              <w:t>Result</w:t>
            </w:r>
          </w:p>
        </w:tc>
      </w:tr>
      <w:tr>
        <w:tc>
          <w:tcPr>
            <w:tcW w:type="dxa" w:w="562"/>
          </w:tcPr>
          <w:p>
            <w:pPr>
              <w:spacing w:before="20" w:after="20" w:line="254" w:lineRule="auto"/>
            </w:pPr>
            <w:r>
              <w:rPr>
                <w:rFonts w:ascii="Carlito" w:hAnsi="Carlito"/>
                <w:b w:val="0"/>
                <w:i w:val="0"/>
                <w:sz w:val="19"/>
              </w:rPr>
              <w:t>C1</w:t>
            </w:r>
          </w:p>
        </w:tc>
        <w:tc>
          <w:tcPr>
            <w:tcW w:type="dxa" w:w="1498"/>
          </w:tcPr>
          <w:p>
            <w:pPr>
              <w:spacing w:before="20" w:after="20" w:line="254" w:lineRule="auto"/>
            </w:pPr>
            <w:r>
              <w:rPr>
                <w:rFonts w:ascii="Carlito" w:hAnsi="Carlito"/>
                <w:b w:val="0"/>
                <w:i w:val="0"/>
                <w:sz w:val="19"/>
              </w:rPr>
              <w:t>Flow</w:t>
            </w:r>
          </w:p>
        </w:tc>
        <w:tc>
          <w:tcPr>
            <w:tcW w:type="dxa" w:w="4867"/>
          </w:tcPr>
          <w:p>
            <w:pPr>
              <w:spacing w:before="20" w:after="20" w:line="254" w:lineRule="auto"/>
            </w:pPr>
            <w:r>
              <w:rPr>
                <w:rFonts w:ascii="Carlito" w:hAnsi="Carlito"/>
                <w:b w:val="0"/>
                <w:i w:val="0"/>
                <w:sz w:val="19"/>
              </w:rPr>
              <w:t>Every count in the flow diagram reconciles with the listing; each exclusion stated and counted</w:t>
            </w:r>
          </w:p>
          <w:p>
            <w:pPr>
              <w:spacing w:before="20" w:after="20" w:line="254" w:lineRule="auto"/>
            </w:pPr>
            <w:r>
              <w:rPr>
                <w:rFonts w:ascii="Carlito" w:hAnsi="Carlito"/>
                <w:b w:val="0"/>
                <w:i/>
                <w:color w:val="4A5B63"/>
                <w:sz w:val="17"/>
              </w:rPr>
              <w:t>Recount from the listing. Do not accept the flow diagram's own arithmetic.</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C2</w:t>
            </w:r>
          </w:p>
        </w:tc>
        <w:tc>
          <w:tcPr>
            <w:tcW w:type="dxa" w:w="1498"/>
          </w:tcPr>
          <w:p>
            <w:pPr>
              <w:spacing w:before="20" w:after="20" w:line="254" w:lineRule="auto"/>
            </w:pPr>
            <w:r>
              <w:rPr>
                <w:rFonts w:ascii="Carlito" w:hAnsi="Carlito"/>
                <w:b w:val="0"/>
                <w:i w:val="0"/>
                <w:sz w:val="19"/>
              </w:rPr>
              <w:t>Consistency</w:t>
            </w:r>
          </w:p>
        </w:tc>
        <w:tc>
          <w:tcPr>
            <w:tcW w:type="dxa" w:w="4867"/>
          </w:tcPr>
          <w:p>
            <w:pPr>
              <w:spacing w:before="20" w:after="20" w:line="254" w:lineRule="auto"/>
            </w:pPr>
            <w:r>
              <w:rPr>
                <w:rFonts w:ascii="Carlito" w:hAnsi="Carlito"/>
                <w:b w:val="0"/>
                <w:i w:val="0"/>
                <w:sz w:val="19"/>
              </w:rPr>
              <w:t>A sample re-adjudicated independently; disagreement rate recorded; discrepancies resolved by a third reviewer</w:t>
            </w:r>
          </w:p>
          <w:p>
            <w:pPr>
              <w:spacing w:before="20" w:after="20" w:line="254" w:lineRule="auto"/>
            </w:pPr>
            <w:r>
              <w:rPr>
                <w:rFonts w:ascii="Carlito" w:hAnsi="Carlito"/>
                <w:b w:val="0"/>
                <w:i/>
                <w:color w:val="4A5B63"/>
                <w:sz w:val="17"/>
              </w:rPr>
              <w:t>State the sample size and the disagreement rate as a number.</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C3</w:t>
            </w:r>
          </w:p>
        </w:tc>
        <w:tc>
          <w:tcPr>
            <w:tcW w:type="dxa" w:w="1498"/>
          </w:tcPr>
          <w:p>
            <w:pPr>
              <w:spacing w:before="20" w:after="20" w:line="254" w:lineRule="auto"/>
            </w:pPr>
            <w:r>
              <w:rPr>
                <w:rFonts w:ascii="Carlito" w:hAnsi="Carlito"/>
                <w:b w:val="0"/>
                <w:i w:val="0"/>
                <w:sz w:val="19"/>
              </w:rPr>
              <w:t>Arithmetic</w:t>
            </w:r>
          </w:p>
        </w:tc>
        <w:tc>
          <w:tcPr>
            <w:tcW w:type="dxa" w:w="4867"/>
          </w:tcPr>
          <w:p>
            <w:pPr>
              <w:spacing w:before="20" w:after="20" w:line="254" w:lineRule="auto"/>
            </w:pPr>
            <w:r>
              <w:rPr>
                <w:rFonts w:ascii="Carlito" w:hAnsi="Carlito"/>
                <w:b w:val="0"/>
                <w:i w:val="0"/>
                <w:sz w:val="19"/>
              </w:rPr>
              <w:t>Derived ratios and ULN multiples recomputed from source values on a sample</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C4</w:t>
            </w:r>
          </w:p>
        </w:tc>
        <w:tc>
          <w:tcPr>
            <w:tcW w:type="dxa" w:w="1498"/>
          </w:tcPr>
          <w:p>
            <w:pPr>
              <w:spacing w:before="20" w:after="20" w:line="254" w:lineRule="auto"/>
            </w:pPr>
            <w:r>
              <w:rPr>
                <w:rFonts w:ascii="Carlito" w:hAnsi="Carlito"/>
                <w:b w:val="0"/>
                <w:i w:val="0"/>
                <w:sz w:val="19"/>
              </w:rPr>
              <w:t>Language</w:t>
            </w:r>
          </w:p>
        </w:tc>
        <w:tc>
          <w:tcPr>
            <w:tcW w:type="dxa" w:w="4867"/>
          </w:tcPr>
          <w:p>
            <w:pPr>
              <w:spacing w:before="20" w:after="20" w:line="254" w:lineRule="auto"/>
            </w:pPr>
            <w:r>
              <w:rPr>
                <w:rFonts w:ascii="Carlito" w:hAnsi="Carlito"/>
                <w:b w:val="0"/>
                <w:i w:val="0"/>
                <w:sz w:val="19"/>
              </w:rPr>
              <w:t>No retrieval count described as cases; no missing datum described as excluded; no absent rechallenge described as negative</w:t>
            </w:r>
          </w:p>
          <w:p>
            <w:pPr>
              <w:spacing w:before="20" w:after="20" w:line="254" w:lineRule="auto"/>
            </w:pPr>
            <w:r>
              <w:rPr>
                <w:rFonts w:ascii="Carlito" w:hAnsi="Carlito"/>
                <w:b w:val="0"/>
                <w:i/>
                <w:color w:val="4A5B63"/>
                <w:sz w:val="17"/>
              </w:rPr>
              <w:t>Read the draft once for those three sentences alone. They read fluently, which is why they survive review.</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C5</w:t>
            </w:r>
          </w:p>
        </w:tc>
        <w:tc>
          <w:tcPr>
            <w:tcW w:type="dxa" w:w="1498"/>
          </w:tcPr>
          <w:p>
            <w:pPr>
              <w:spacing w:before="20" w:after="20" w:line="254" w:lineRule="auto"/>
            </w:pPr>
            <w:r>
              <w:rPr>
                <w:rFonts w:ascii="Carlito" w:hAnsi="Carlito"/>
                <w:b w:val="0"/>
                <w:i w:val="0"/>
                <w:sz w:val="19"/>
              </w:rPr>
              <w:t>Identifiers</w:t>
            </w:r>
          </w:p>
        </w:tc>
        <w:tc>
          <w:tcPr>
            <w:tcW w:type="dxa" w:w="4867"/>
          </w:tcPr>
          <w:p>
            <w:pPr>
              <w:spacing w:before="20" w:after="20" w:line="254" w:lineRule="auto"/>
            </w:pPr>
            <w:r>
              <w:rPr>
                <w:rFonts w:ascii="Carlito" w:hAnsi="Carlito"/>
                <w:b w:val="0"/>
                <w:i w:val="0"/>
                <w:sz w:val="19"/>
              </w:rPr>
              <w:t>One identifier means one patient throughout the report and its appendices</w:t>
            </w:r>
          </w:p>
        </w:tc>
        <w:tc>
          <w:tcPr>
            <w:tcW w:type="dxa" w:w="2434"/>
          </w:tcPr>
          <w:p>
            <w:pPr>
              <w:spacing w:before="20" w:after="20" w:line="254" w:lineRule="auto"/>
            </w:pPr>
          </w:p>
        </w:tc>
      </w:tr>
      <w:tr>
        <w:tc>
          <w:tcPr>
            <w:tcW w:type="dxa" w:w="562"/>
          </w:tcPr>
          <w:p>
            <w:pPr>
              <w:spacing w:before="20" w:after="20" w:line="254" w:lineRule="auto"/>
            </w:pPr>
            <w:r>
              <w:rPr>
                <w:rFonts w:ascii="Carlito" w:hAnsi="Carlito"/>
                <w:b w:val="0"/>
                <w:i w:val="0"/>
                <w:sz w:val="19"/>
              </w:rPr>
              <w:t>C6</w:t>
            </w:r>
          </w:p>
        </w:tc>
        <w:tc>
          <w:tcPr>
            <w:tcW w:type="dxa" w:w="1498"/>
          </w:tcPr>
          <w:p>
            <w:pPr>
              <w:spacing w:before="20" w:after="20" w:line="254" w:lineRule="auto"/>
            </w:pPr>
            <w:r>
              <w:rPr>
                <w:rFonts w:ascii="Carlito" w:hAnsi="Carlito"/>
                <w:b w:val="0"/>
                <w:i w:val="0"/>
                <w:sz w:val="19"/>
              </w:rPr>
              <w:t>Missing-data handling</w:t>
            </w:r>
          </w:p>
        </w:tc>
        <w:tc>
          <w:tcPr>
            <w:tcW w:type="dxa" w:w="4867"/>
          </w:tcPr>
          <w:p>
            <w:pPr>
              <w:spacing w:before="20" w:after="20" w:line="254" w:lineRule="auto"/>
            </w:pPr>
            <w:r>
              <w:rPr>
                <w:rFonts w:ascii="Carlito" w:hAnsi="Carlito"/>
                <w:b w:val="0"/>
                <w:i w:val="0"/>
                <w:sz w:val="19"/>
              </w:rPr>
              <w:t>Unclassifiable cases carried as their own category in every count, with the sensitivity analysis that assigns them first one way and then the other</w:t>
            </w:r>
          </w:p>
          <w:p>
            <w:pPr>
              <w:spacing w:before="20" w:after="20" w:line="254" w:lineRule="auto"/>
            </w:pPr>
            <w:r>
              <w:rPr>
                <w:rFonts w:ascii="Carlito" w:hAnsi="Carlito"/>
                <w:b w:val="0"/>
                <w:i/>
                <w:color w:val="4A5B63"/>
                <w:sz w:val="17"/>
              </w:rPr>
              <w:t>A conclusion holding under both assignments is not hostage to the missing values.</w:t>
            </w:r>
          </w:p>
        </w:tc>
        <w:tc>
          <w:tcPr>
            <w:tcW w:type="dxa" w:w="2434"/>
          </w:tcPr>
          <w:p>
            <w:pPr>
              <w:spacing w:before="20" w:after="20" w:line="254" w:lineRule="auto"/>
            </w:pPr>
          </w:p>
        </w:tc>
      </w:tr>
    </w:tbl>
    <w:p>
      <w:pPr>
        <w:spacing w:after="40"/>
      </w:pP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Series built by</w:t>
            </w:r>
          </w:p>
        </w:tc>
        <w:tc>
          <w:tcPr>
            <w:tcW w:type="dxa" w:w="3744"/>
          </w:tcPr>
          <w:p>
            <w:pPr>
              <w:spacing w:before="20" w:after="20" w:line="254" w:lineRule="auto"/>
            </w:pPr>
            <w:r>
              <w:rPr>
                <w:rFonts w:ascii="Carlito" w:hAnsi="Carlito"/>
                <w:b w:val="0"/>
                <w:i w:val="0"/>
                <w:sz w:val="19"/>
              </w:rPr>
              <w:t>Name, role,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QC reviewer</w:t>
            </w:r>
          </w:p>
        </w:tc>
        <w:tc>
          <w:tcPr>
            <w:tcW w:type="dxa" w:w="3744"/>
          </w:tcPr>
          <w:p>
            <w:pPr>
              <w:spacing w:before="20" w:after="20" w:line="254" w:lineRule="auto"/>
            </w:pPr>
            <w:r>
              <w:rPr>
                <w:rFonts w:ascii="Carlito" w:hAnsi="Carlito"/>
                <w:b w:val="0"/>
                <w:i w:val="0"/>
                <w:sz w:val="19"/>
              </w:rPr>
              <w:t>Name, role, date — not the builder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Release approved by</w:t>
            </w:r>
          </w:p>
        </w:tc>
        <w:tc>
          <w:tcPr>
            <w:tcW w:type="dxa" w:w="3744"/>
          </w:tcPr>
          <w:p>
            <w:pPr>
              <w:spacing w:before="20" w:after="20" w:line="254" w:lineRule="auto"/>
            </w:pPr>
            <w:r>
              <w:rPr>
                <w:rFonts w:ascii="Carlito" w:hAnsi="Carlito"/>
                <w:b w:val="0"/>
                <w:i w:val="0"/>
                <w:sz w:val="19"/>
              </w:rPr>
              <w:t>Name, role, date</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T-09 Case-Series Line Listing Guide and QC Checklist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