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T-10 — Time-to-Onset Analysis Plan</w:t>
      </w:r>
    </w:p>
    <w:p>
      <w:pPr>
        <w:spacing w:after="20"/>
      </w:pPr>
      <w:r>
        <w:rPr>
          <w:rFonts w:ascii="Caladea" w:hAnsi="Caladea"/>
          <w:b/>
          <w:color w:val="1E2A32"/>
          <w:sz w:val="21"/>
        </w:rPr>
        <w:t>Signal Management in Pharmacovigilance</w:t>
      </w:r>
    </w:p>
    <w:p>
      <w:pPr>
        <w:spacing w:after="120"/>
      </w:pPr>
      <w:r>
        <w:rPr>
          <w:rFonts w:ascii="Carlito" w:hAnsi="Carlito"/>
          <w:color w:val="4A5B63"/>
          <w:sz w:val="19"/>
        </w:rPr>
        <w:t>Dr. Hafez Selim, MD, PhD  ·  Selim Medical Press</w:t>
      </w:r>
    </w:p>
    <w:p>
      <w:pPr>
        <w:spacing w:before="40" w:after="160"/>
        <w:pBdr>
          <w:bottom w:val="single" w:sz="12" w:space="1" w:color="1F5661"/>
        </w:pBdr>
      </w:pPr>
    </w:p>
    <w:p>
      <w:pPr>
        <w:spacing w:after="200"/>
      </w:pPr>
      <w:r>
        <w:rPr>
          <w:rFonts w:ascii="Carlito" w:hAnsi="Carlito"/>
          <w:b/>
          <w:color w:val="1F5661"/>
          <w:sz w:val="20"/>
        </w:rPr>
        <w:t xml:space="preserve">When to use this tool: </w:t>
      </w:r>
      <w:r>
        <w:rPr>
          <w:rFonts w:ascii="Carlito" w:hAnsi="Carlito"/>
          <w:color w:val="1E2A32"/>
          <w:sz w:val="20"/>
        </w:rPr>
        <w:t>Complete at the start of the analysis, not afterward, and file it with the signal assessment report as an appendix.</w:t>
      </w:r>
    </w:p>
    <w:p>
      <w:r>
        <w:t>A time-to-onset analysis is defensible when a second analyst, given the same case set and the same plan, produces the same intervals. That requires the decisions below to be recorded before the data are touched.</w:t>
      </w:r>
    </w:p>
    <w:p>
      <w:pPr>
        <w:pStyle w:val="Heading1"/>
      </w:pPr>
      <w:r>
        <w:t>Plan elements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1. Analysis question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mechanistic or operational question the distribution is meant to answer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Examples: does latency fit an immune-mediated mechanism? Over what interval should monitoring be required?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2. Case set and data cut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Source, retrieval, deduplication step, assessability criteria, frozen cut date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Cross-reference T-08. State the count at each selection step.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3. Exposure clock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First dose, re-initiation, dose increase, or co-medication start; and the rule for interruptions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The clock choice is the single decision that most changes the distribution. Justify it against the mechanism.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4. Onset definition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Symptom onset, diagnosis, or laboratory threshold crossing — one rule, applied uniformly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Mixing diagnosis dates and symptom dates within one distribution produces a shape that means nothing.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5. Date hierarchy and imputation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Rules by completeness level; a flag field for imputed values; the handling of onset preceding exposure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Onsets preceding exposure are data errors or clock errors. Decide in advance which, and how they are treated.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6. Censoring and discontinuation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Whether exposure duration is known; treatment of ongoing therapy; Kaplan-Meier feasibility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Spontaneous data rarely support a survival analysis because the at-risk population is unknown. Say so if it does not.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7. Primary summary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Median, IQR, range, n; histogram bins stated in advance; cumulative curve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State the IQR method. A mean far above the median indicates a right tail and should be reported as such, not smoothed away.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8. Shape description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Whether a parametric fit is used, and the statement that it describes reported onsets only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9. Risk-window rationale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interval proposed for monitoring, and the cumulative percentage of cases supporting it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Give the percentage. 'Most cases occurred early' is not a monitoring schedule.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10. Stratification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Prespecified strata, the mechanistic prediction for each, and the minimum n for reporting a stratum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Predict before you stratify. A stratum reported because it looked interesting is a subgroup, not a finding.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11. Sensitivity analyses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Imputed cases excluded; extreme value excluded; alternative clock; alternative onset definition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12. Limitations statement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Missing dates, immortal time, selective early reporting, discontinuation, and the reported-case framing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Required sentence: the distribution describes the onsets of reported cases, not the onset distribution in treated patients.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Case-level data collection sheet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1123"/>
        <w:gridCol w:w="2059"/>
        <w:gridCol w:w="1310"/>
        <w:gridCol w:w="1310"/>
        <w:gridCol w:w="1123"/>
        <w:gridCol w:w="1310"/>
        <w:gridCol w:w="1123"/>
      </w:tblGrid>
      <w:tr>
        <w:trPr>
          <w:tblHeader/>
        </w:trPr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Case ID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Exposure start (clock event)</w:t>
            </w: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Onset date</w:t>
            </w: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Time to onset (days)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Date imputed?</w:t>
            </w: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Treatment ongoing at onset?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Stratum</w:t>
            </w:r>
          </w:p>
        </w:tc>
      </w:tr>
      <w:tr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Summary output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3182"/>
        <w:gridCol w:w="1685"/>
        <w:gridCol w:w="4493"/>
      </w:tblGrid>
      <w:tr>
        <w:trPr>
          <w:tblHeader/>
        </w:trPr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Statistic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 (assessable cases with a computable interval)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State separately how many cases were excluded for missing dates.</w:t>
            </w:r>
          </w:p>
        </w:tc>
      </w:tr>
      <w:tr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Median (days)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Interquartile range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State the method used to compute the quartiles and keep it constant across the book of work.</w:t>
            </w:r>
          </w:p>
        </w:tc>
      </w:tr>
      <w:tr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Range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Mean (days)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Report beside the median. A mean more than twice the median signals a long right tail.</w:t>
            </w:r>
          </w:p>
        </w:tc>
      </w:tr>
      <w:tr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Cumulative % by proposed window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For example: 9 of 12 cases within 21 days = 75%.</w:t>
            </w:r>
          </w:p>
        </w:tc>
      </w:tr>
    </w:tbl>
    <w:p>
      <w:pPr>
        <w:spacing w:after="40"/>
      </w:pPr>
    </w:p>
    <w:p>
      <w:pPr>
        <w:pStyle w:val="Heading2"/>
      </w:pPr>
      <w:r>
        <w:t>Worked specimen (Torvaxel, illustrative)</w:t>
      </w:r>
    </w:p>
    <w:p>
      <w:r>
        <w:t>Twelve assessable cases, time to onset in days: 2, 3, 3, 5, 7, 7, 10, 14, 21, 33, 45, 90. Mean 20.0; median 8.5; IQR 4–27; range 2–90. The mean is more than twice the median, which is the finding: a small number of late cases carries the tail, and a monitoring window set from the mean would be wrong in both directions.</w:t>
      </w:r>
    </w:p>
    <w:p>
      <w:pPr>
        <w:spacing w:before="40" w:after="160"/>
        <w:pBdr>
          <w:bottom w:val="single" w:sz="6" w:space="1" w:color="9FBAC0"/>
        </w:pBdr>
      </w:pPr>
    </w:p>
    <w:p>
      <w:r>
        <w:rPr>
          <w:rFonts w:ascii="Carlito" w:hAnsi="Carlito"/>
          <w:i/>
          <w:color w:val="4A5B63"/>
          <w:sz w:val="18"/>
        </w:rPr>
        <w:t>This template is educational. It does not replace applicable law, current regulatory guidance, medical judgment, or company procedures. Adapt it to your own procedures before use.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4A5B63"/>
        <w:sz w:val="16"/>
      </w:rPr>
      <w:t>T-10 Time-to-Onset Analysis Plan · Signal Management in Pharmacovigilance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rlito" w:hAnsi="Carlito" w:cs="Carlito" w:eastAsia="Carlito"/>
      <w:color w:val="1E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adea" w:hAnsi="Caladea" w:cs="Caladea" w:eastAsia="Caladea"/>
      <w:b/>
      <w:color w:val="1F56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before="0" w:after="140"/>
    </w:pPr>
    <w:rPr>
      <w:rFonts w:ascii="Carlito" w:hAnsi="Carlito" w:cs="Carlito" w:eastAsia="Carlito"/>
      <w:i/>
      <w:color w:val="4A5B63"/>
      <w:sz w:val="19"/>
    </w:rPr>
  </w:style>
  <w:style w:type="paragraph" w:customStyle="1" w:styleId="SubtleNote">
    <w:name w:val="SubtleNote"/>
    <w:basedOn w:val="Normal"/>
    <w:pPr>
      <w:spacing w:before="0" w:after="100"/>
    </w:pPr>
    <w:rPr>
      <w:rFonts w:ascii="Carlito" w:hAnsi="Carlito" w:cs="Carlito" w:eastAsia="Carlito"/>
      <w:color w:val="4A5B63"/>
      <w:sz w:val="19"/>
    </w:rPr>
  </w:style>
  <w:style w:type="table" w:styleId="ToolkitTable">
    <w:name w:val="Toolkit Table"/>
    <w:basedOn w:val="TableNormal"/>
    <w:uiPriority w:val="59"/>
    <w:qFormat/>
    <w:rPr>
      <w:rFonts w:ascii="Carlito" w:hAnsi="Carlito" w:cs="Carlito"/>
      <w:color w:val="1E2A32"/>
      <w:sz w:val="19"/>
    </w:rPr>
    <w:tblPr>
      <w:tblStyleRowBandSize w:val="1"/>
      <w:tblBorders>
        <w:top w:val="single" w:sz="4" w:space="0" w:color="9FBAC0"/>
        <w:left w:val="single" w:sz="4" w:space="0" w:color="9FBAC0"/>
        <w:bottom w:val="single" w:sz="4" w:space="0" w:color="9FBAC0"/>
        <w:right w:val="single" w:sz="4" w:space="0" w:color="9FBAC0"/>
        <w:insideH w:val="single" w:sz="4" w:space="0" w:color="9FBAC0"/>
        <w:insideV w:val="single" w:sz="4" w:space="0" w:color="9FBAC0"/>
      </w:tblBorders>
      <w:tblCellMar>
        <w:top w:w="72" w:type="dxa"/>
        <w:left w:w="101" w:type="dxa"/>
        <w:bottom w:w="72" w:type="dxa"/>
        <w:right w:w="101" w:type="dxa"/>
      </w:tblCellMar>
    </w:tblPr>
    <w:tblStylePr w:type="firstRow">
      <w:pPr>
        <w:keepNext/>
        <w:spacing w:before="20" w:after="20"/>
      </w:pPr>
      <w:rPr>
        <w:rFonts w:ascii="Carlito" w:hAnsi="Carlito"/>
        <w:b/>
        <w:color w:val="FFFFFF"/>
      </w:rPr>
      <w:tcPr>
        <w:shd w:val="clear" w:color="auto" w:fill="1F5661"/>
      </w:tcPr>
    </w:tblStylePr>
    <w:tblStylePr w:type="band1Horz">
      <w:tcPr>
        <w:shd w:val="clear" w:color="auto" w:fill="E8EFE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