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T-13 — Totality-of-Evidence Table</w:t>
      </w:r>
    </w:p>
    <w:p>
      <w:pPr>
        <w:spacing w:after="20"/>
      </w:pPr>
      <w:r>
        <w:rPr>
          <w:rFonts w:ascii="Caladea" w:hAnsi="Caladea"/>
          <w:b/>
          <w:color w:val="1E2A32"/>
          <w:sz w:val="21"/>
        </w:rPr>
        <w:t>Signal Management in Pharmacovigilance</w:t>
      </w:r>
    </w:p>
    <w:p>
      <w:pPr>
        <w:spacing w:after="120"/>
      </w:pPr>
      <w:r>
        <w:rPr>
          <w:rFonts w:ascii="Carlito" w:hAnsi="Carlito"/>
          <w:color w:val="4A5B63"/>
          <w:sz w:val="19"/>
        </w:rPr>
        <w:t>Dr. Hafez Selim, MD, PhD  ·  Selim Medical Press</w:t>
      </w:r>
    </w:p>
    <w:p>
      <w:pPr>
        <w:spacing w:before="40" w:after="160"/>
        <w:pBdr>
          <w:bottom w:val="single" w:sz="12" w:space="1" w:color="1F5661"/>
        </w:pBdr>
      </w:pPr>
    </w:p>
    <w:p>
      <w:pPr>
        <w:spacing w:after="200"/>
      </w:pPr>
      <w:r>
        <w:rPr>
          <w:rFonts w:ascii="Carlito" w:hAnsi="Carlito"/>
          <w:b/>
          <w:color w:val="1F5661"/>
          <w:sz w:val="20"/>
        </w:rPr>
        <w:t xml:space="preserve">When to use this tool: </w:t>
      </w:r>
      <w:r>
        <w:rPr>
          <w:rFonts w:ascii="Carlito" w:hAnsi="Carlito"/>
          <w:color w:val="1E2A32"/>
          <w:sz w:val="20"/>
        </w:rPr>
        <w:t>Complete during integrated signal assessment, one row per evidence source — including sources examined and found unhelpful.</w:t>
      </w:r>
    </w:p>
    <w:p>
      <w:r>
        <w:t>One design feature distinguishes this table from a summary of findings: the weight column cannot be left blank, and the entry must include the reason. A reviewer who cannot write why a source receives high, moderate, low, or no decision weight has not integrated it, and the gap is visible to anyone reading the form.</w:t>
      </w:r>
    </w:p>
    <w:p>
      <w:r>
        <w:t>The fourth level matters most. No weight is what a source receives when its design cannot address the question, and it is a different entry from a source that addresses the question and points the other way.</w:t>
      </w:r>
    </w:p>
    <w:p>
      <w:pPr>
        <w:pStyle w:val="Prompt"/>
      </w:pPr>
      <w:r>
        <w:t>Write the finding before the weight, and the weight before the conclusion. Name any overlap between sources so the table cannot be read as more independent than it is. A stream absent from the table is indistinguishable from one nobody looked at.</w:t>
      </w:r>
    </w:p>
    <w:p>
      <w:pPr>
        <w:pStyle w:val="SubtleNote"/>
      </w:pPr>
      <w:r>
        <w:t>The structure is an illustrative design, not a regulatory requirement. The expectation in GVP Module IX Revision 1 (EMA/827661/2011, effective 22 November 2017) is that an assessment be documented well enough for an independent reviewer to follow it.</w:t>
      </w:r>
    </w:p>
    <w:p>
      <w:pPr>
        <w:pStyle w:val="Heading1"/>
      </w:pPr>
      <w:r>
        <w:t>1. The question this table is answering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to record — and what a good entry looks like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Assessment question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Population, exposure, outcome definition, comparator, risk window, as fixed in the protocol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Copy it from T-07 rather than restating it. A question that drifts between the protocol and the synthesis is the drift the table exists to prevent.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Decision this assessment supports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Which decisions the possible answers would support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Data cut(s)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Each frozen cut used, and a note where sources have different cuts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2. Evidence sources — one row per source</w:t>
      </w:r>
    </w:p>
    <w:p>
      <w:r>
        <w:t>Copy the block below for each source. Complete all seven fields for every source.</w:t>
      </w:r>
    </w:p>
    <w:p>
      <w:pPr>
        <w:pStyle w:val="Heading2"/>
      </w:pPr>
      <w:r>
        <w:t>Source 1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to record — and what a good entry looks like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Source and data cut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Source identity, version or publication, frozen data cut, internal or external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Finding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The result as reported, with the effect measure, its interval, and the counts behind it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Counts behind the estimate, always. '24 of 520 versus 9 of 515; RR 2.64 (95% CI 1.24–5.63)' is a finding; 'increased risk' is not.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Validity for this question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Which of frequency, latency, ascertainment and confounding structure this source can address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Be specific about what the design can and cannot do. A randomized comparison with a concurrent control answers a different question from a spontaneous series.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Limitation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Specific to this source and this question; state overlap with any other listed source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Overlap is the field most often skipped and the one that most often inflates apparent independence.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Direction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Supports / opposes / uninformative for the association — stated separately from weight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Uninformative and opposing are different entries. Do not merge them.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Decision weight and reason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High / moderate / low / none, with the reason in one sentence referencing validity, not volume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Cannot be left blank. 'Low weight: 96 spontaneous reports, but the background rate in this population is 8–12% per year, so the series cannot distinguish drug effect from disease.'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Discordance note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If this source conflicts with another, the axis of the discordance and the explanation tested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Axes worth naming: population, outcome definition, exposure window, comparator, ascertainment, analysis period.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Source 2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to record — and what a good entry looks like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Source and data cut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Source identity, version or publication, frozen data cut, internal or external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Finding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The result as reported, with the effect measure, its interval, and the counts behind it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Counts behind the estimate, always. '24 of 520 versus 9 of 515; RR 2.64 (95% CI 1.24–5.63)' is a finding; 'increased risk' is not.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Validity for this question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Which of frequency, latency, ascertainment and confounding structure this source can address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Be specific about what the design can and cannot do. A randomized comparison with a concurrent control answers a different question from a spontaneous series.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Limitation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Specific to this source and this question; state overlap with any other listed source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Overlap is the field most often skipped and the one that most often inflates apparent independence.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Direction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Supports / opposes / uninformative for the association — stated separately from weight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Uninformative and opposing are different entries. Do not merge them.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Decision weight and reason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High / moderate / low / none, with the reason in one sentence referencing validity, not volume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Cannot be left blank. 'Low weight: 96 spontaneous reports, but the background rate in this population is 8–12% per year, so the series cannot distinguish drug effect from disease.'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Discordance note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If this source conflicts with another, the axis of the discordance and the explanation tested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Axes worth naming: population, outcome definition, exposure window, comparator, ascertainment, analysis period.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Source 3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to record — and what a good entry looks like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Source and data cut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Source identity, version or publication, frozen data cut, internal or external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Finding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The result as reported, with the effect measure, its interval, and the counts behind it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Counts behind the estimate, always. '24 of 520 versus 9 of 515; RR 2.64 (95% CI 1.24–5.63)' is a finding; 'increased risk' is not.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Validity for this question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Which of frequency, latency, ascertainment and confounding structure this source can address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Be specific about what the design can and cannot do. A randomized comparison with a concurrent control answers a different question from a spontaneous series.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Limitation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Specific to this source and this question; state overlap with any other listed source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Overlap is the field most often skipped and the one that most often inflates apparent independence.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Direction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Supports / opposes / uninformative for the association — stated separately from weight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Uninformative and opposing are different entries. Do not merge them.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Decision weight and reason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High / moderate / low / none, with the reason in one sentence referencing validity, not volume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Cannot be left blank. 'Low weight: 96 spontaneous reports, but the background rate in this population is 8–12% per year, so the series cannot distinguish drug effect from disease.'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Discordance note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If this source conflicts with another, the axis of the discordance and the explanation tested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Axes worth naming: population, outcome definition, exposure window, comparator, ascertainment, analysis period.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3. Summary grid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1685"/>
        <w:gridCol w:w="3182"/>
        <w:gridCol w:w="1123"/>
        <w:gridCol w:w="1123"/>
        <w:gridCol w:w="2246"/>
      </w:tblGrid>
      <w:tr>
        <w:trPr>
          <w:tblHeader/>
        </w:trPr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182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Finding (with counts)</w:t>
            </w: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Direction</w:t>
            </w: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Weight</w:t>
            </w:r>
          </w:p>
        </w:tc>
        <w:tc>
          <w:tcPr>
            <w:tcW w:type="dxa" w:w="224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Reason for the weight</w:t>
            </w:r>
          </w:p>
        </w:tc>
      </w:tr>
      <w:tr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3182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246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3182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246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3182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246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3182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246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3182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246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3182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246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3182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1123"/>
          </w:tcPr>
          <w:p>
            <w:pPr>
              <w:spacing w:before="20" w:after="20" w:line="254" w:lineRule="auto"/>
            </w:pPr>
          </w:p>
        </w:tc>
        <w:tc>
          <w:tcPr>
            <w:tcW w:type="dxa" w:w="2246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4. Synthesis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to record — and what a good entry looks like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Supported conclusion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What the totality supports, in causal-claim vocabulary, at the level the evidence reaches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The evidence supports a causal association; it does not prove one. Distinguish the scientific conclusion from the regulatory action it may justify.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Consideration carrying the weight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The one or two findings on which the inference principally rests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A later reviewer needs to know which finding would overturn the conclusion.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Residual uncertainty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Named specifically, each item with the data that would resolve it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'Residual uncertainty remains' is not an entry. Name the item and the study, analysis or follow-up that would settle it.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Benefit–risk impact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Expected direction and magnitude of effect on the balance; cross-reference to T-15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Recommended action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The action, its owner, its due date, and the trigger that would change the recommendation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Explicitly not supported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The statements the evidence cannot bear, including any frequency where no denominator exists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Reviewers and date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Assessor, second reviewer, date. A second reviewer is mandatory where sources conflict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1" w:color="9FBAC0"/>
        </w:pBdr>
      </w:pPr>
    </w:p>
    <w:p>
      <w:r>
        <w:rPr>
          <w:rFonts w:ascii="Carlito" w:hAnsi="Carlito"/>
          <w:i/>
          <w:color w:val="4A5B63"/>
          <w:sz w:val="18"/>
        </w:rPr>
        <w:t>This template is educational. It does not replace applicable law, current regulatory guidance, medical judgment, or company procedures. Adapt it to your own procedures before use.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rlito" w:hAnsi="Carlito"/>
        <w:color w:val="4A5B63"/>
        <w:sz w:val="16"/>
      </w:rPr>
      <w:t>T-13 Totality-of-Evidence Table · Signal Management in Pharmacovigilance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rlito" w:hAnsi="Carlito" w:cs="Carlito" w:eastAsia="Carlito"/>
      <w:color w:val="1E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  <w:keepNext/>
    </w:pPr>
    <w:rPr>
      <w:rFonts w:asciiTheme="majorHAnsi" w:eastAsiaTheme="majorEastAsia" w:hAnsiTheme="majorHAnsi" w:cstheme="majorBidi" w:ascii="Caladea" w:hAnsi="Caladea" w:cs="Caladea" w:eastAsia="Caladea"/>
      <w:b/>
      <w:bCs/>
      <w:color w:val="1F5661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  <w:keepNext/>
    </w:pPr>
    <w:rPr>
      <w:rFonts w:asciiTheme="majorHAnsi" w:eastAsiaTheme="majorEastAsia" w:hAnsiTheme="majorHAnsi" w:cstheme="majorBidi" w:ascii="Caladea" w:hAnsi="Caladea" w:cs="Caladea" w:eastAsia="Caladea"/>
      <w:b/>
      <w:bCs/>
      <w:color w:val="1F56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  <w:keepNext/>
    </w:pPr>
    <w:rPr>
      <w:rFonts w:asciiTheme="majorHAnsi" w:eastAsiaTheme="majorEastAsia" w:hAnsiTheme="majorHAnsi" w:cstheme="majorBidi" w:ascii="Caladea" w:hAnsi="Caladea" w:cs="Caladea" w:eastAsia="Caladea"/>
      <w:b/>
      <w:bCs/>
      <w:color w:val="1F566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Caladea" w:hAnsi="Caladea" w:cs="Caladea" w:eastAsia="Caladea"/>
      <w:b/>
      <w:color w:val="1F5661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basedOn w:val="Normal"/>
    <w:pPr>
      <w:spacing w:before="0" w:after="140"/>
    </w:pPr>
    <w:rPr>
      <w:rFonts w:ascii="Carlito" w:hAnsi="Carlito" w:cs="Carlito" w:eastAsia="Carlito"/>
      <w:i/>
      <w:color w:val="4A5B63"/>
      <w:sz w:val="19"/>
    </w:rPr>
  </w:style>
  <w:style w:type="paragraph" w:customStyle="1" w:styleId="SubtleNote">
    <w:name w:val="SubtleNote"/>
    <w:basedOn w:val="Normal"/>
    <w:pPr>
      <w:spacing w:before="0" w:after="100"/>
    </w:pPr>
    <w:rPr>
      <w:rFonts w:ascii="Carlito" w:hAnsi="Carlito" w:cs="Carlito" w:eastAsia="Carlito"/>
      <w:color w:val="4A5B63"/>
      <w:sz w:val="19"/>
    </w:rPr>
  </w:style>
  <w:style w:type="table" w:styleId="ToolkitTable">
    <w:name w:val="Toolkit Table"/>
    <w:basedOn w:val="TableNormal"/>
    <w:uiPriority w:val="59"/>
    <w:qFormat/>
    <w:rPr>
      <w:rFonts w:ascii="Carlito" w:hAnsi="Carlito" w:cs="Carlito"/>
      <w:color w:val="1E2A32"/>
      <w:sz w:val="19"/>
    </w:rPr>
    <w:tblPr>
      <w:tblStyleRowBandSize w:val="1"/>
      <w:tblBorders>
        <w:top w:val="single" w:sz="4" w:space="0" w:color="9FBAC0"/>
        <w:left w:val="single" w:sz="4" w:space="0" w:color="9FBAC0"/>
        <w:bottom w:val="single" w:sz="4" w:space="0" w:color="9FBAC0"/>
        <w:right w:val="single" w:sz="4" w:space="0" w:color="9FBAC0"/>
        <w:insideH w:val="single" w:sz="4" w:space="0" w:color="9FBAC0"/>
        <w:insideV w:val="single" w:sz="4" w:space="0" w:color="9FBAC0"/>
      </w:tblBorders>
      <w:tblCellMar>
        <w:top w:w="72" w:type="dxa"/>
        <w:left w:w="101" w:type="dxa"/>
        <w:bottom w:w="72" w:type="dxa"/>
        <w:right w:w="101" w:type="dxa"/>
      </w:tblCellMar>
    </w:tblPr>
    <w:tblStylePr w:type="firstRow">
      <w:pPr>
        <w:keepNext/>
        <w:spacing w:before="20" w:after="20"/>
      </w:pPr>
      <w:rPr>
        <w:rFonts w:ascii="Carlito" w:hAnsi="Carlito"/>
        <w:b/>
        <w:color w:val="FFFFFF"/>
      </w:rPr>
      <w:tcPr>
        <w:shd w:val="clear" w:color="auto" w:fill="1F5661"/>
      </w:tcPr>
    </w:tblStylePr>
    <w:tblStylePr w:type="band1Horz">
      <w:tcPr>
        <w:shd w:val="clear" w:color="auto" w:fill="E8EFE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