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T-14 — Causal Reasoning Template</w:t>
      </w:r>
    </w:p>
    <w:p>
      <w:pPr>
        <w:spacing w:after="20"/>
      </w:pPr>
      <w:r>
        <w:rPr>
          <w:rFonts w:ascii="Caladea" w:hAnsi="Caladea"/>
          <w:b/>
          <w:color w:val="1E2A32"/>
          <w:sz w:val="21"/>
        </w:rPr>
        <w:t>Signal Management in Pharmacovigilance</w:t>
      </w:r>
    </w:p>
    <w:p>
      <w:pPr>
        <w:spacing w:after="120"/>
      </w:pPr>
      <w:r>
        <w:rPr>
          <w:rFonts w:ascii="Carlito" w:hAnsi="Carlito"/>
          <w:color w:val="4A5B63"/>
          <w:sz w:val="19"/>
        </w:rPr>
        <w:t>Dr. Hafez Selim, MD, PhD  ·  Selim Medical Press</w:t>
      </w:r>
    </w:p>
    <w:p>
      <w:pPr>
        <w:spacing w:before="40" w:after="160"/>
        <w:pBdr>
          <w:bottom w:val="single" w:sz="12" w:space="1" w:color="1F5661"/>
        </w:pBdr>
      </w:pPr>
    </w:p>
    <w:p>
      <w:pPr>
        <w:spacing w:after="200"/>
      </w:pPr>
      <w:r>
        <w:rPr>
          <w:rFonts w:ascii="Carlito" w:hAnsi="Carlito"/>
          <w:b/>
          <w:color w:val="1F5661"/>
          <w:sz w:val="20"/>
        </w:rPr>
        <w:t xml:space="preserve">When to use this tool: </w:t>
      </w:r>
      <w:r>
        <w:rPr>
          <w:rFonts w:ascii="Carlito" w:hAnsi="Carlito"/>
          <w:color w:val="1E2A32"/>
          <w:sz w:val="20"/>
        </w:rPr>
        <w:t>Complete once the evidence has been assembled in T-13, and before the assessment report's conclusion is drafted.</w:t>
      </w:r>
    </w:p>
    <w:p>
      <w:r>
        <w:t>The form is built so that the conclusion cannot be written before the opposing evidence has been. Its five substantive fields are completed in order, and the field for evidence opposing the association is not optional: an argument with that field empty has either been written backward or has not looked.</w:t>
      </w:r>
    </w:p>
    <w:p>
      <w:r>
        <w:t>The alternative-explanations field requires each candidate to be named and addressed rather than acknowledged collectively, since “confounding cannot be excluded” is a sentence that fits every assessment ever written and distinguishes none of them.</w:t>
      </w:r>
    </w:p>
    <w:p>
      <w:pPr>
        <w:pStyle w:val="Prompt"/>
      </w:pPr>
      <w:r>
        <w:t>Two habits make the form useful. Name the consideration carrying the weight, because an argument resting on a dose relationship and a rechallenge is a different argument from one resting on phenotype and mechanism. And keep the final inference in causal-claim vocabulary: the evidence supports a causal association, it does not prove one.</w:t>
      </w:r>
    </w:p>
    <w:p>
      <w:pPr>
        <w:pStyle w:val="SubtleNote"/>
      </w:pPr>
      <w:r>
        <w:t>The form is an illustrative design, not a regulatory requirement.</w:t>
      </w:r>
    </w:p>
    <w:p>
      <w:pPr>
        <w:pStyle w:val="Heading1"/>
      </w:pPr>
      <w:r>
        <w:t>Structured causal argument</w:t>
      </w:r>
    </w:p>
    <w:tbl>
      <w:tblPr>
        <w:tblStyle w:val="ToolkitTable"/>
        <w:tblW w:type="auto" w:w="0"/>
        <w:jc w:val="left"/>
        <w:tblLayout w:type="fixed"/>
        <w:tblLook w:val="04A0" w:firstRow="1" w:lastRow="0" w:firstColumn="0" w:lastColumn="0" w:noHBand="0" w:noVBand="1"/>
      </w:tblPr>
      <w:tblGrid>
        <w:gridCol w:w="2059"/>
        <w:gridCol w:w="3744"/>
        <w:gridCol w:w="3557"/>
      </w:tblGrid>
      <w:tr>
        <w:trPr>
          <w:tblHeader/>
        </w:trPr>
        <w:tc>
          <w:tcPr>
            <w:tcW w:type="dxa" w:w="2059"/>
          </w:tcPr>
          <w:p>
            <w:pPr>
              <w:spacing w:before="20" w:after="20" w:line="254" w:lineRule="auto"/>
            </w:pPr>
            <w:r>
              <w:rPr>
                <w:rFonts w:ascii="Carlito" w:hAnsi="Carlito"/>
                <w:b/>
                <w:i w:val="0"/>
                <w:color w:val="FFFFFF"/>
                <w:sz w:val="19"/>
              </w:rPr>
              <w:t>Field</w:t>
            </w:r>
          </w:p>
        </w:tc>
        <w:tc>
          <w:tcPr>
            <w:tcW w:type="dxa" w:w="3744"/>
          </w:tcPr>
          <w:p>
            <w:pPr>
              <w:spacing w:before="20" w:after="20" w:line="254" w:lineRule="auto"/>
            </w:pPr>
            <w:r>
              <w:rPr>
                <w:rFonts w:ascii="Carlito" w:hAnsi="Carlito"/>
                <w:b/>
                <w:i w:val="0"/>
                <w:color w:val="FFFFFF"/>
                <w:sz w:val="19"/>
              </w:rPr>
              <w:t>What to record — and what a good entry looks like</w:t>
            </w:r>
          </w:p>
        </w:tc>
        <w:tc>
          <w:tcPr>
            <w:tcW w:type="dxa" w:w="3557"/>
          </w:tcPr>
          <w:p>
            <w:pPr>
              <w:spacing w:before="20" w:after="20" w:line="254" w:lineRule="auto"/>
            </w:pPr>
            <w:r>
              <w:rPr>
                <w:rFonts w:ascii="Carlito" w:hAnsi="Carlito"/>
                <w:b/>
                <w:i w:val="0"/>
                <w:color w:val="FFFFFF"/>
                <w:sz w:val="19"/>
              </w:rPr>
              <w:t>Your entry</w:t>
            </w:r>
          </w:p>
        </w:tc>
      </w:tr>
      <w:tr>
        <w:tc>
          <w:tcPr>
            <w:tcW w:type="dxa" w:w="2059"/>
          </w:tcPr>
          <w:p>
            <w:pPr>
              <w:spacing w:before="20" w:after="20" w:line="254" w:lineRule="auto"/>
            </w:pPr>
            <w:r>
              <w:rPr>
                <w:rFonts w:ascii="Carlito" w:hAnsi="Carlito"/>
                <w:b w:val="0"/>
                <w:i w:val="0"/>
                <w:sz w:val="19"/>
              </w:rPr>
              <w:t>1. Product–event pair and question</w:t>
            </w:r>
          </w:p>
        </w:tc>
        <w:tc>
          <w:tcPr>
            <w:tcW w:type="dxa" w:w="3744"/>
          </w:tcPr>
          <w:p>
            <w:pPr>
              <w:spacing w:before="20" w:after="20" w:line="254" w:lineRule="auto"/>
            </w:pPr>
            <w:r>
              <w:rPr>
                <w:rFonts w:ascii="Carlito" w:hAnsi="Carlito"/>
                <w:b w:val="0"/>
                <w:i w:val="0"/>
                <w:sz w:val="19"/>
              </w:rPr>
              <w:t>Active moiety; event as a clinical concept with its definition; population; data cut</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2. Hypothesized mechanism</w:t>
            </w:r>
          </w:p>
        </w:tc>
        <w:tc>
          <w:tcPr>
            <w:tcW w:type="dxa" w:w="3744"/>
          </w:tcPr>
          <w:p>
            <w:pPr>
              <w:spacing w:before="20" w:after="20" w:line="254" w:lineRule="auto"/>
            </w:pPr>
            <w:r>
              <w:rPr>
                <w:rFonts w:ascii="Carlito" w:hAnsi="Carlito"/>
                <w:b w:val="0"/>
                <w:i w:val="0"/>
                <w:sz w:val="19"/>
              </w:rPr>
              <w:t>The mechanism proposed, and which considerations it predicts will be informative</w:t>
            </w:r>
          </w:p>
          <w:p>
            <w:pPr>
              <w:spacing w:before="20" w:after="20" w:line="254" w:lineRule="auto"/>
            </w:pPr>
            <w:r>
              <w:rPr>
                <w:rFonts w:ascii="Carlito" w:hAnsi="Carlito"/>
                <w:b w:val="0"/>
                <w:i/>
                <w:color w:val="4A5B63"/>
                <w:sz w:val="17"/>
              </w:rPr>
              <w:t>A mechanism that predicts nothing testable is an assertion. State what it implies about latency, dose, susceptibility, or rechallenge.</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3. Evidence supporting association</w:t>
            </w:r>
          </w:p>
        </w:tc>
        <w:tc>
          <w:tcPr>
            <w:tcW w:type="dxa" w:w="3744"/>
          </w:tcPr>
          <w:p>
            <w:pPr>
              <w:spacing w:before="20" w:after="20" w:line="254" w:lineRule="auto"/>
            </w:pPr>
            <w:r>
              <w:rPr>
                <w:rFonts w:ascii="Carlito" w:hAnsi="Carlito"/>
                <w:b w:val="0"/>
                <w:i w:val="0"/>
                <w:sz w:val="19"/>
              </w:rPr>
              <w:t>Each item with its source, the finding, and the consideration it speaks to</w:t>
            </w:r>
          </w:p>
          <w:p>
            <w:pPr>
              <w:spacing w:before="20" w:after="20" w:line="254" w:lineRule="auto"/>
            </w:pPr>
            <w:r>
              <w:rPr>
                <w:rFonts w:ascii="Carlito" w:hAnsi="Carlito"/>
                <w:b w:val="0"/>
                <w:i/>
                <w:color w:val="4A5B63"/>
                <w:sz w:val="17"/>
              </w:rPr>
              <w:t>Map each item to a consideration: strength, consistency, temporality, dose relationship, plausibility, coherence, experiment (dechallenge and rechallenge), analogy.</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4. Evidence opposing association</w:t>
            </w:r>
          </w:p>
        </w:tc>
        <w:tc>
          <w:tcPr>
            <w:tcW w:type="dxa" w:w="3744"/>
          </w:tcPr>
          <w:p>
            <w:pPr>
              <w:spacing w:before="20" w:after="20" w:line="254" w:lineRule="auto"/>
            </w:pPr>
            <w:r>
              <w:rPr>
                <w:rFonts w:ascii="Carlito" w:hAnsi="Carlito"/>
                <w:b w:val="0"/>
                <w:i w:val="0"/>
                <w:sz w:val="19"/>
              </w:rPr>
              <w:t>Each item with its source. State explicitly if none was found, and where it was sought</w:t>
            </w:r>
          </w:p>
          <w:p>
            <w:pPr>
              <w:spacing w:before="20" w:after="20" w:line="254" w:lineRule="auto"/>
            </w:pPr>
            <w:r>
              <w:rPr>
                <w:rFonts w:ascii="Carlito" w:hAnsi="Carlito"/>
                <w:b w:val="0"/>
                <w:i/>
                <w:color w:val="4A5B63"/>
                <w:sz w:val="17"/>
              </w:rPr>
              <w:t>Required field. 'None found; sought in the trial database, the published literature to [date], and the class safety review' is an entry. Blank is not.</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5. Alternative explanations</w:t>
            </w:r>
          </w:p>
        </w:tc>
        <w:tc>
          <w:tcPr>
            <w:tcW w:type="dxa" w:w="3744"/>
          </w:tcPr>
          <w:p>
            <w:pPr>
              <w:spacing w:before="20" w:after="20" w:line="254" w:lineRule="auto"/>
            </w:pPr>
            <w:r>
              <w:rPr>
                <w:rFonts w:ascii="Carlito" w:hAnsi="Carlito"/>
                <w:b w:val="0"/>
                <w:i w:val="0"/>
                <w:sz w:val="19"/>
              </w:rPr>
              <w:t>Each candidate named, with what was done to test it and what was found</w:t>
            </w:r>
          </w:p>
          <w:p>
            <w:pPr>
              <w:spacing w:before="20" w:after="20" w:line="254" w:lineRule="auto"/>
            </w:pPr>
            <w:r>
              <w:rPr>
                <w:rFonts w:ascii="Carlito" w:hAnsi="Carlito"/>
                <w:b w:val="0"/>
                <w:i/>
                <w:color w:val="4A5B63"/>
                <w:sz w:val="17"/>
              </w:rPr>
              <w:t>One row per candidate: the indication itself, a co-medication, a comorbidity, an artifact of reporting, a device or quality factor, channelling, protopathic bias.</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6. Case-level assessments</w:t>
            </w:r>
          </w:p>
        </w:tc>
        <w:tc>
          <w:tcPr>
            <w:tcW w:type="dxa" w:w="3744"/>
          </w:tcPr>
          <w:p>
            <w:pPr>
              <w:spacing w:before="20" w:after="20" w:line="254" w:lineRule="auto"/>
            </w:pPr>
            <w:r>
              <w:rPr>
                <w:rFonts w:ascii="Carlito" w:hAnsi="Carlito"/>
                <w:b w:val="0"/>
                <w:i w:val="0"/>
                <w:sz w:val="19"/>
              </w:rPr>
              <w:t>Categories tabulated by case, with the statement that they are not summed</w:t>
            </w:r>
          </w:p>
          <w:p>
            <w:pPr>
              <w:spacing w:before="20" w:after="20" w:line="254" w:lineRule="auto"/>
            </w:pPr>
            <w:r>
              <w:rPr>
                <w:rFonts w:ascii="Carlito" w:hAnsi="Carlito"/>
                <w:b w:val="0"/>
                <w:i/>
                <w:color w:val="4A5B63"/>
                <w:sz w:val="17"/>
              </w:rPr>
              <w:t>Case-level causality categories are not additive. Twelve 'possible' cases do not make one 'probable' conclusion.</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7. Consideration carrying the weight</w:t>
            </w:r>
          </w:p>
        </w:tc>
        <w:tc>
          <w:tcPr>
            <w:tcW w:type="dxa" w:w="3744"/>
          </w:tcPr>
          <w:p>
            <w:pPr>
              <w:spacing w:before="20" w:after="20" w:line="254" w:lineRule="auto"/>
            </w:pPr>
            <w:r>
              <w:rPr>
                <w:rFonts w:ascii="Carlito" w:hAnsi="Carlito"/>
                <w:b w:val="0"/>
                <w:i w:val="0"/>
                <w:sz w:val="19"/>
              </w:rPr>
              <w:t>The one or two findings on which the inference principally rests</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8. Residual uncertainty</w:t>
            </w:r>
          </w:p>
        </w:tc>
        <w:tc>
          <w:tcPr>
            <w:tcW w:type="dxa" w:w="3744"/>
          </w:tcPr>
          <w:p>
            <w:pPr>
              <w:spacing w:before="20" w:after="20" w:line="254" w:lineRule="auto"/>
            </w:pPr>
            <w:r>
              <w:rPr>
                <w:rFonts w:ascii="Carlito" w:hAnsi="Carlito"/>
                <w:b w:val="0"/>
                <w:i w:val="0"/>
                <w:sz w:val="19"/>
              </w:rPr>
              <w:t>Named specifically, with the data that would resolve each item</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9. Final inference</w:t>
            </w:r>
          </w:p>
        </w:tc>
        <w:tc>
          <w:tcPr>
            <w:tcW w:type="dxa" w:w="3744"/>
          </w:tcPr>
          <w:p>
            <w:pPr>
              <w:spacing w:before="20" w:after="20" w:line="254" w:lineRule="auto"/>
            </w:pPr>
            <w:r>
              <w:rPr>
                <w:rFonts w:ascii="Carlito" w:hAnsi="Carlito"/>
                <w:b w:val="0"/>
                <w:i w:val="0"/>
                <w:sz w:val="19"/>
              </w:rPr>
              <w:t>What the totality supports, in causal-claim vocabulary, at the level the evidence reaches</w:t>
            </w:r>
          </w:p>
          <w:p>
            <w:pPr>
              <w:spacing w:before="20" w:after="20" w:line="254" w:lineRule="auto"/>
            </w:pPr>
            <w:r>
              <w:rPr>
                <w:rFonts w:ascii="Carlito" w:hAnsi="Carlito"/>
                <w:b w:val="0"/>
                <w:i/>
                <w:color w:val="4A5B63"/>
                <w:sz w:val="17"/>
              </w:rPr>
              <w:t>Permitted forms: the assessment supports a causal association; the evidence is insufficient to support or refute; the evidence refutes the hypothesized association for this population. Never: the signal was proven, or confirmed by a statistic.</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10. Explicitly not supported</w:t>
            </w:r>
          </w:p>
        </w:tc>
        <w:tc>
          <w:tcPr>
            <w:tcW w:type="dxa" w:w="3744"/>
          </w:tcPr>
          <w:p>
            <w:pPr>
              <w:spacing w:before="20" w:after="20" w:line="254" w:lineRule="auto"/>
            </w:pPr>
            <w:r>
              <w:rPr>
                <w:rFonts w:ascii="Carlito" w:hAnsi="Carlito"/>
                <w:b w:val="0"/>
                <w:i w:val="0"/>
                <w:sz w:val="19"/>
              </w:rPr>
              <w:t>Statements the evidence cannot bear, including incidence where no denominator exists</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11. Reviewers and date</w:t>
            </w:r>
          </w:p>
        </w:tc>
        <w:tc>
          <w:tcPr>
            <w:tcW w:type="dxa" w:w="3744"/>
          </w:tcPr>
          <w:p>
            <w:pPr>
              <w:spacing w:before="20" w:after="20" w:line="254" w:lineRule="auto"/>
            </w:pPr>
            <w:r>
              <w:rPr>
                <w:rFonts w:ascii="Carlito" w:hAnsi="Carlito"/>
                <w:b w:val="0"/>
                <w:i w:val="0"/>
                <w:sz w:val="19"/>
              </w:rPr>
              <w:t>Assessor, independent reviewer, date. Independent review is mandatory where cases are confounded</w:t>
            </w:r>
          </w:p>
        </w:tc>
        <w:tc>
          <w:tcPr>
            <w:tcW w:type="dxa" w:w="3557"/>
          </w:tcPr>
          <w:p>
            <w:pPr>
              <w:spacing w:before="20" w:after="20" w:line="254" w:lineRule="auto"/>
            </w:pPr>
          </w:p>
        </w:tc>
      </w:tr>
    </w:tbl>
    <w:p>
      <w:pPr>
        <w:spacing w:after="40"/>
      </w:pPr>
    </w:p>
    <w:p>
      <w:pPr>
        <w:pStyle w:val="Heading1"/>
      </w:pPr>
      <w:r>
        <w:t>Alternative explanations — one row per candidate</w:t>
      </w:r>
    </w:p>
    <w:tbl>
      <w:tblPr>
        <w:tblStyle w:val="ToolkitTable"/>
        <w:tblW w:type="auto" w:w="0"/>
        <w:jc w:val="left"/>
        <w:tblLayout w:type="fixed"/>
        <w:tblLook w:val="04A0" w:firstRow="1" w:lastRow="0" w:firstColumn="0" w:lastColumn="0" w:noHBand="0" w:noVBand="1"/>
      </w:tblPr>
      <w:tblGrid>
        <w:gridCol w:w="2246"/>
        <w:gridCol w:w="2059"/>
        <w:gridCol w:w="2059"/>
        <w:gridCol w:w="2059"/>
        <w:gridCol w:w="936"/>
      </w:tblGrid>
      <w:tr>
        <w:trPr>
          <w:tblHeader/>
        </w:trPr>
        <w:tc>
          <w:tcPr>
            <w:tcW w:type="dxa" w:w="2246"/>
          </w:tcPr>
          <w:p>
            <w:pPr>
              <w:spacing w:before="20" w:after="20" w:line="254" w:lineRule="auto"/>
            </w:pPr>
            <w:r>
              <w:rPr>
                <w:rFonts w:ascii="Carlito" w:hAnsi="Carlito"/>
                <w:b/>
                <w:i w:val="0"/>
                <w:color w:val="FFFFFF"/>
                <w:sz w:val="19"/>
              </w:rPr>
              <w:t>Candidate explanation</w:t>
            </w:r>
          </w:p>
        </w:tc>
        <w:tc>
          <w:tcPr>
            <w:tcW w:type="dxa" w:w="2059"/>
          </w:tcPr>
          <w:p>
            <w:pPr>
              <w:spacing w:before="20" w:after="20" w:line="254" w:lineRule="auto"/>
            </w:pPr>
            <w:r>
              <w:rPr>
                <w:rFonts w:ascii="Carlito" w:hAnsi="Carlito"/>
                <w:b/>
                <w:i w:val="0"/>
                <w:color w:val="FFFFFF"/>
                <w:sz w:val="19"/>
              </w:rPr>
              <w:t>How it could produce this pattern</w:t>
            </w:r>
          </w:p>
        </w:tc>
        <w:tc>
          <w:tcPr>
            <w:tcW w:type="dxa" w:w="2059"/>
          </w:tcPr>
          <w:p>
            <w:pPr>
              <w:spacing w:before="20" w:after="20" w:line="254" w:lineRule="auto"/>
            </w:pPr>
            <w:r>
              <w:rPr>
                <w:rFonts w:ascii="Carlito" w:hAnsi="Carlito"/>
                <w:b/>
                <w:i w:val="0"/>
                <w:color w:val="FFFFFF"/>
                <w:sz w:val="19"/>
              </w:rPr>
              <w:t>What was done to test it</w:t>
            </w:r>
          </w:p>
        </w:tc>
        <w:tc>
          <w:tcPr>
            <w:tcW w:type="dxa" w:w="2059"/>
          </w:tcPr>
          <w:p>
            <w:pPr>
              <w:spacing w:before="20" w:after="20" w:line="254" w:lineRule="auto"/>
            </w:pPr>
            <w:r>
              <w:rPr>
                <w:rFonts w:ascii="Carlito" w:hAnsi="Carlito"/>
                <w:b/>
                <w:i w:val="0"/>
                <w:color w:val="FFFFFF"/>
                <w:sz w:val="19"/>
              </w:rPr>
              <w:t>What was found</w:t>
            </w:r>
          </w:p>
        </w:tc>
        <w:tc>
          <w:tcPr>
            <w:tcW w:type="dxa" w:w="936"/>
          </w:tcPr>
          <w:p>
            <w:pPr>
              <w:spacing w:before="20" w:after="20" w:line="254" w:lineRule="auto"/>
            </w:pPr>
            <w:r>
              <w:rPr>
                <w:rFonts w:ascii="Carlito" w:hAnsi="Carlito"/>
                <w:b/>
                <w:i w:val="0"/>
                <w:color w:val="FFFFFF"/>
                <w:sz w:val="19"/>
              </w:rPr>
              <w:t>Resolved?</w:t>
            </w:r>
          </w:p>
        </w:tc>
      </w:tr>
      <w:tr>
        <w:tc>
          <w:tcPr>
            <w:tcW w:type="dxa" w:w="2246"/>
          </w:tcPr>
          <w:p>
            <w:pPr>
              <w:spacing w:before="20" w:after="20" w:line="254" w:lineRule="auto"/>
            </w:pPr>
            <w:r>
              <w:rPr>
                <w:rFonts w:ascii="Carlito" w:hAnsi="Carlito"/>
                <w:b w:val="0"/>
                <w:i w:val="0"/>
                <w:sz w:val="19"/>
              </w:rPr>
              <w:t>Indication or underlying disease</w:t>
            </w:r>
          </w:p>
        </w:tc>
        <w:tc>
          <w:tcPr>
            <w:tcW w:type="dxa" w:w="2059"/>
          </w:tcPr>
          <w:p>
            <w:pPr>
              <w:spacing w:before="20" w:after="20" w:line="254" w:lineRule="auto"/>
            </w:pPr>
          </w:p>
        </w:tc>
        <w:tc>
          <w:tcPr>
            <w:tcW w:type="dxa" w:w="2059"/>
          </w:tcPr>
          <w:p>
            <w:pPr>
              <w:spacing w:before="20" w:after="20" w:line="254" w:lineRule="auto"/>
            </w:pPr>
          </w:p>
        </w:tc>
        <w:tc>
          <w:tcPr>
            <w:tcW w:type="dxa" w:w="2059"/>
          </w:tcPr>
          <w:p>
            <w:pPr>
              <w:spacing w:before="20" w:after="20" w:line="254" w:lineRule="auto"/>
            </w:pPr>
          </w:p>
        </w:tc>
        <w:tc>
          <w:tcPr>
            <w:tcW w:type="dxa" w:w="936"/>
          </w:tcPr>
          <w:p>
            <w:pPr>
              <w:spacing w:before="20" w:after="20" w:line="254" w:lineRule="auto"/>
            </w:pPr>
          </w:p>
        </w:tc>
      </w:tr>
      <w:tr>
        <w:tc>
          <w:tcPr>
            <w:tcW w:type="dxa" w:w="2246"/>
          </w:tcPr>
          <w:p>
            <w:pPr>
              <w:spacing w:before="20" w:after="20" w:line="254" w:lineRule="auto"/>
            </w:pPr>
            <w:r>
              <w:rPr>
                <w:rFonts w:ascii="Carlito" w:hAnsi="Carlito"/>
                <w:b w:val="0"/>
                <w:i w:val="0"/>
                <w:sz w:val="19"/>
              </w:rPr>
              <w:t>Specific co-medication</w:t>
            </w:r>
          </w:p>
        </w:tc>
        <w:tc>
          <w:tcPr>
            <w:tcW w:type="dxa" w:w="2059"/>
          </w:tcPr>
          <w:p>
            <w:pPr>
              <w:spacing w:before="20" w:after="20" w:line="254" w:lineRule="auto"/>
            </w:pPr>
          </w:p>
        </w:tc>
        <w:tc>
          <w:tcPr>
            <w:tcW w:type="dxa" w:w="2059"/>
          </w:tcPr>
          <w:p>
            <w:pPr>
              <w:spacing w:before="20" w:after="20" w:line="254" w:lineRule="auto"/>
            </w:pPr>
          </w:p>
        </w:tc>
        <w:tc>
          <w:tcPr>
            <w:tcW w:type="dxa" w:w="2059"/>
          </w:tcPr>
          <w:p>
            <w:pPr>
              <w:spacing w:before="20" w:after="20" w:line="254" w:lineRule="auto"/>
            </w:pPr>
          </w:p>
        </w:tc>
        <w:tc>
          <w:tcPr>
            <w:tcW w:type="dxa" w:w="936"/>
          </w:tcPr>
          <w:p>
            <w:pPr>
              <w:spacing w:before="20" w:after="20" w:line="254" w:lineRule="auto"/>
            </w:pPr>
          </w:p>
        </w:tc>
      </w:tr>
      <w:tr>
        <w:tc>
          <w:tcPr>
            <w:tcW w:type="dxa" w:w="2246"/>
          </w:tcPr>
          <w:p>
            <w:pPr>
              <w:spacing w:before="20" w:after="20" w:line="254" w:lineRule="auto"/>
            </w:pPr>
            <w:r>
              <w:rPr>
                <w:rFonts w:ascii="Carlito" w:hAnsi="Carlito"/>
                <w:b w:val="0"/>
                <w:i w:val="0"/>
                <w:sz w:val="19"/>
              </w:rPr>
              <w:t>Comorbidity or organ impairment</w:t>
            </w:r>
          </w:p>
        </w:tc>
        <w:tc>
          <w:tcPr>
            <w:tcW w:type="dxa" w:w="2059"/>
          </w:tcPr>
          <w:p>
            <w:pPr>
              <w:spacing w:before="20" w:after="20" w:line="254" w:lineRule="auto"/>
            </w:pPr>
          </w:p>
        </w:tc>
        <w:tc>
          <w:tcPr>
            <w:tcW w:type="dxa" w:w="2059"/>
          </w:tcPr>
          <w:p>
            <w:pPr>
              <w:spacing w:before="20" w:after="20" w:line="254" w:lineRule="auto"/>
            </w:pPr>
          </w:p>
        </w:tc>
        <w:tc>
          <w:tcPr>
            <w:tcW w:type="dxa" w:w="2059"/>
          </w:tcPr>
          <w:p>
            <w:pPr>
              <w:spacing w:before="20" w:after="20" w:line="254" w:lineRule="auto"/>
            </w:pPr>
          </w:p>
        </w:tc>
        <w:tc>
          <w:tcPr>
            <w:tcW w:type="dxa" w:w="936"/>
          </w:tcPr>
          <w:p>
            <w:pPr>
              <w:spacing w:before="20" w:after="20" w:line="254" w:lineRule="auto"/>
            </w:pPr>
          </w:p>
        </w:tc>
      </w:tr>
      <w:tr>
        <w:tc>
          <w:tcPr>
            <w:tcW w:type="dxa" w:w="2246"/>
          </w:tcPr>
          <w:p>
            <w:pPr>
              <w:spacing w:before="20" w:after="20" w:line="254" w:lineRule="auto"/>
            </w:pPr>
            <w:r>
              <w:rPr>
                <w:rFonts w:ascii="Carlito" w:hAnsi="Carlito"/>
                <w:b w:val="0"/>
                <w:i w:val="0"/>
                <w:sz w:val="19"/>
              </w:rPr>
              <w:t>Reporting artifact (publicity, litigation, stimulation)</w:t>
            </w:r>
          </w:p>
        </w:tc>
        <w:tc>
          <w:tcPr>
            <w:tcW w:type="dxa" w:w="2059"/>
          </w:tcPr>
          <w:p>
            <w:pPr>
              <w:spacing w:before="20" w:after="20" w:line="254" w:lineRule="auto"/>
            </w:pPr>
          </w:p>
        </w:tc>
        <w:tc>
          <w:tcPr>
            <w:tcW w:type="dxa" w:w="2059"/>
          </w:tcPr>
          <w:p>
            <w:pPr>
              <w:spacing w:before="20" w:after="20" w:line="254" w:lineRule="auto"/>
            </w:pPr>
          </w:p>
        </w:tc>
        <w:tc>
          <w:tcPr>
            <w:tcW w:type="dxa" w:w="2059"/>
          </w:tcPr>
          <w:p>
            <w:pPr>
              <w:spacing w:before="20" w:after="20" w:line="254" w:lineRule="auto"/>
            </w:pPr>
          </w:p>
        </w:tc>
        <w:tc>
          <w:tcPr>
            <w:tcW w:type="dxa" w:w="936"/>
          </w:tcPr>
          <w:p>
            <w:pPr>
              <w:spacing w:before="20" w:after="20" w:line="254" w:lineRule="auto"/>
            </w:pPr>
          </w:p>
        </w:tc>
      </w:tr>
      <w:tr>
        <w:tc>
          <w:tcPr>
            <w:tcW w:type="dxa" w:w="2246"/>
          </w:tcPr>
          <w:p>
            <w:pPr>
              <w:spacing w:before="20" w:after="20" w:line="254" w:lineRule="auto"/>
            </w:pPr>
            <w:r>
              <w:rPr>
                <w:rFonts w:ascii="Carlito" w:hAnsi="Carlito"/>
                <w:b w:val="0"/>
                <w:i w:val="0"/>
                <w:sz w:val="19"/>
              </w:rPr>
              <w:t>Duplication or coding artifact</w:t>
            </w:r>
          </w:p>
        </w:tc>
        <w:tc>
          <w:tcPr>
            <w:tcW w:type="dxa" w:w="2059"/>
          </w:tcPr>
          <w:p>
            <w:pPr>
              <w:spacing w:before="20" w:after="20" w:line="254" w:lineRule="auto"/>
            </w:pPr>
          </w:p>
        </w:tc>
        <w:tc>
          <w:tcPr>
            <w:tcW w:type="dxa" w:w="2059"/>
          </w:tcPr>
          <w:p>
            <w:pPr>
              <w:spacing w:before="20" w:after="20" w:line="254" w:lineRule="auto"/>
            </w:pPr>
          </w:p>
        </w:tc>
        <w:tc>
          <w:tcPr>
            <w:tcW w:type="dxa" w:w="2059"/>
          </w:tcPr>
          <w:p>
            <w:pPr>
              <w:spacing w:before="20" w:after="20" w:line="254" w:lineRule="auto"/>
            </w:pPr>
          </w:p>
        </w:tc>
        <w:tc>
          <w:tcPr>
            <w:tcW w:type="dxa" w:w="936"/>
          </w:tcPr>
          <w:p>
            <w:pPr>
              <w:spacing w:before="20" w:after="20" w:line="254" w:lineRule="auto"/>
            </w:pPr>
          </w:p>
        </w:tc>
      </w:tr>
      <w:tr>
        <w:tc>
          <w:tcPr>
            <w:tcW w:type="dxa" w:w="2246"/>
          </w:tcPr>
          <w:p>
            <w:pPr>
              <w:spacing w:before="20" w:after="20" w:line="254" w:lineRule="auto"/>
            </w:pPr>
            <w:r>
              <w:rPr>
                <w:rFonts w:ascii="Carlito" w:hAnsi="Carlito"/>
                <w:b w:val="0"/>
                <w:i w:val="0"/>
                <w:sz w:val="19"/>
              </w:rPr>
              <w:t>Device, presentation, batch or quality factor</w:t>
            </w:r>
          </w:p>
        </w:tc>
        <w:tc>
          <w:tcPr>
            <w:tcW w:type="dxa" w:w="2059"/>
          </w:tcPr>
          <w:p>
            <w:pPr>
              <w:spacing w:before="20" w:after="20" w:line="254" w:lineRule="auto"/>
            </w:pPr>
          </w:p>
        </w:tc>
        <w:tc>
          <w:tcPr>
            <w:tcW w:type="dxa" w:w="2059"/>
          </w:tcPr>
          <w:p>
            <w:pPr>
              <w:spacing w:before="20" w:after="20" w:line="254" w:lineRule="auto"/>
            </w:pPr>
          </w:p>
        </w:tc>
        <w:tc>
          <w:tcPr>
            <w:tcW w:type="dxa" w:w="2059"/>
          </w:tcPr>
          <w:p>
            <w:pPr>
              <w:spacing w:before="20" w:after="20" w:line="254" w:lineRule="auto"/>
            </w:pPr>
          </w:p>
        </w:tc>
        <w:tc>
          <w:tcPr>
            <w:tcW w:type="dxa" w:w="936"/>
          </w:tcPr>
          <w:p>
            <w:pPr>
              <w:spacing w:before="20" w:after="20" w:line="254" w:lineRule="auto"/>
            </w:pPr>
          </w:p>
        </w:tc>
      </w:tr>
      <w:tr>
        <w:tc>
          <w:tcPr>
            <w:tcW w:type="dxa" w:w="2246"/>
          </w:tcPr>
          <w:p>
            <w:pPr>
              <w:spacing w:before="20" w:after="20" w:line="254" w:lineRule="auto"/>
            </w:pPr>
            <w:r>
              <w:rPr>
                <w:rFonts w:ascii="Carlito" w:hAnsi="Carlito"/>
                <w:b w:val="0"/>
                <w:i w:val="0"/>
                <w:sz w:val="19"/>
              </w:rPr>
              <w:t>Channelling or confounding by indication</w:t>
            </w:r>
          </w:p>
        </w:tc>
        <w:tc>
          <w:tcPr>
            <w:tcW w:type="dxa" w:w="2059"/>
          </w:tcPr>
          <w:p>
            <w:pPr>
              <w:spacing w:before="20" w:after="20" w:line="254" w:lineRule="auto"/>
            </w:pPr>
          </w:p>
        </w:tc>
        <w:tc>
          <w:tcPr>
            <w:tcW w:type="dxa" w:w="2059"/>
          </w:tcPr>
          <w:p>
            <w:pPr>
              <w:spacing w:before="20" w:after="20" w:line="254" w:lineRule="auto"/>
            </w:pPr>
          </w:p>
        </w:tc>
        <w:tc>
          <w:tcPr>
            <w:tcW w:type="dxa" w:w="2059"/>
          </w:tcPr>
          <w:p>
            <w:pPr>
              <w:spacing w:before="20" w:after="20" w:line="254" w:lineRule="auto"/>
            </w:pPr>
          </w:p>
        </w:tc>
        <w:tc>
          <w:tcPr>
            <w:tcW w:type="dxa" w:w="936"/>
          </w:tcPr>
          <w:p>
            <w:pPr>
              <w:spacing w:before="20" w:after="20" w:line="254" w:lineRule="auto"/>
            </w:pPr>
          </w:p>
        </w:tc>
      </w:tr>
      <w:tr>
        <w:tc>
          <w:tcPr>
            <w:tcW w:type="dxa" w:w="2246"/>
          </w:tcPr>
          <w:p>
            <w:pPr>
              <w:spacing w:before="20" w:after="20" w:line="254" w:lineRule="auto"/>
            </w:pPr>
            <w:r>
              <w:rPr>
                <w:rFonts w:ascii="Carlito" w:hAnsi="Carlito"/>
                <w:b w:val="0"/>
                <w:i w:val="0"/>
                <w:sz w:val="19"/>
              </w:rPr>
              <w:t>Protopathic bias (the event preceded and prompted the prescription)</w:t>
            </w:r>
          </w:p>
        </w:tc>
        <w:tc>
          <w:tcPr>
            <w:tcW w:type="dxa" w:w="2059"/>
          </w:tcPr>
          <w:p>
            <w:pPr>
              <w:spacing w:before="20" w:after="20" w:line="254" w:lineRule="auto"/>
            </w:pPr>
          </w:p>
        </w:tc>
        <w:tc>
          <w:tcPr>
            <w:tcW w:type="dxa" w:w="2059"/>
          </w:tcPr>
          <w:p>
            <w:pPr>
              <w:spacing w:before="20" w:after="20" w:line="254" w:lineRule="auto"/>
            </w:pPr>
          </w:p>
        </w:tc>
        <w:tc>
          <w:tcPr>
            <w:tcW w:type="dxa" w:w="2059"/>
          </w:tcPr>
          <w:p>
            <w:pPr>
              <w:spacing w:before="20" w:after="20" w:line="254" w:lineRule="auto"/>
            </w:pPr>
          </w:p>
        </w:tc>
        <w:tc>
          <w:tcPr>
            <w:tcW w:type="dxa" w:w="936"/>
          </w:tcPr>
          <w:p>
            <w:pPr>
              <w:spacing w:before="20" w:after="20" w:line="254" w:lineRule="auto"/>
            </w:pPr>
          </w:p>
        </w:tc>
      </w:tr>
      <w:tr>
        <w:tc>
          <w:tcPr>
            <w:tcW w:type="dxa" w:w="2246"/>
          </w:tcPr>
          <w:p>
            <w:pPr>
              <w:spacing w:before="20" w:after="20" w:line="254" w:lineRule="auto"/>
            </w:pPr>
          </w:p>
        </w:tc>
        <w:tc>
          <w:tcPr>
            <w:tcW w:type="dxa" w:w="2059"/>
          </w:tcPr>
          <w:p>
            <w:pPr>
              <w:spacing w:before="20" w:after="20" w:line="254" w:lineRule="auto"/>
            </w:pPr>
          </w:p>
        </w:tc>
        <w:tc>
          <w:tcPr>
            <w:tcW w:type="dxa" w:w="2059"/>
          </w:tcPr>
          <w:p>
            <w:pPr>
              <w:spacing w:before="20" w:after="20" w:line="254" w:lineRule="auto"/>
            </w:pPr>
          </w:p>
        </w:tc>
        <w:tc>
          <w:tcPr>
            <w:tcW w:type="dxa" w:w="2059"/>
          </w:tcPr>
          <w:p>
            <w:pPr>
              <w:spacing w:before="20" w:after="20" w:line="254" w:lineRule="auto"/>
            </w:pPr>
          </w:p>
        </w:tc>
        <w:tc>
          <w:tcPr>
            <w:tcW w:type="dxa" w:w="936"/>
          </w:tcPr>
          <w:p>
            <w:pPr>
              <w:spacing w:before="20" w:after="20" w:line="254" w:lineRule="auto"/>
            </w:pPr>
          </w:p>
        </w:tc>
      </w:tr>
    </w:tbl>
    <w:p>
      <w:pPr>
        <w:spacing w:after="40"/>
      </w:pPr>
    </w:p>
    <w:p>
      <w:pPr>
        <w:pStyle w:val="Heading1"/>
      </w:pPr>
      <w:r>
        <w:t>Considerations grid</w:t>
      </w:r>
    </w:p>
    <w:p>
      <w:r>
        <w:t>Complete each row with the finding and its source, or with the reason the consideration cannot be assessed.</w:t>
      </w:r>
    </w:p>
    <w:tbl>
      <w:tblPr>
        <w:tblStyle w:val="ToolkitTable"/>
        <w:tblW w:type="auto" w:w="0"/>
        <w:jc w:val="left"/>
        <w:tblLayout w:type="fixed"/>
        <w:tblLook w:val="04A0" w:firstRow="1" w:lastRow="0" w:firstColumn="0" w:lastColumn="0" w:noHBand="0" w:noVBand="1"/>
      </w:tblPr>
      <w:tblGrid>
        <w:gridCol w:w="2621"/>
        <w:gridCol w:w="2995"/>
        <w:gridCol w:w="1498"/>
        <w:gridCol w:w="2246"/>
      </w:tblGrid>
      <w:tr>
        <w:trPr>
          <w:tblHeader/>
        </w:trPr>
        <w:tc>
          <w:tcPr>
            <w:tcW w:type="dxa" w:w="2621"/>
          </w:tcPr>
          <w:p>
            <w:pPr>
              <w:spacing w:before="20" w:after="20" w:line="254" w:lineRule="auto"/>
            </w:pPr>
            <w:r>
              <w:rPr>
                <w:rFonts w:ascii="Carlito" w:hAnsi="Carlito"/>
                <w:b/>
                <w:i w:val="0"/>
                <w:color w:val="FFFFFF"/>
                <w:sz w:val="19"/>
              </w:rPr>
              <w:t>Consideration</w:t>
            </w:r>
          </w:p>
        </w:tc>
        <w:tc>
          <w:tcPr>
            <w:tcW w:type="dxa" w:w="2995"/>
          </w:tcPr>
          <w:p>
            <w:pPr>
              <w:spacing w:before="20" w:after="20" w:line="254" w:lineRule="auto"/>
            </w:pPr>
            <w:r>
              <w:rPr>
                <w:rFonts w:ascii="Carlito" w:hAnsi="Carlito"/>
                <w:b/>
                <w:i w:val="0"/>
                <w:color w:val="FFFFFF"/>
                <w:sz w:val="19"/>
              </w:rPr>
              <w:t>Finding in this assessment</w:t>
            </w:r>
          </w:p>
        </w:tc>
        <w:tc>
          <w:tcPr>
            <w:tcW w:type="dxa" w:w="1498"/>
          </w:tcPr>
          <w:p>
            <w:pPr>
              <w:spacing w:before="20" w:after="20" w:line="254" w:lineRule="auto"/>
            </w:pPr>
            <w:r>
              <w:rPr>
                <w:rFonts w:ascii="Carlito" w:hAnsi="Carlito"/>
                <w:b/>
                <w:i w:val="0"/>
                <w:color w:val="FFFFFF"/>
                <w:sz w:val="19"/>
              </w:rPr>
              <w:t>Source</w:t>
            </w:r>
          </w:p>
        </w:tc>
        <w:tc>
          <w:tcPr>
            <w:tcW w:type="dxa" w:w="2246"/>
          </w:tcPr>
          <w:p>
            <w:pPr>
              <w:spacing w:before="20" w:after="20" w:line="254" w:lineRule="auto"/>
            </w:pPr>
            <w:r>
              <w:rPr>
                <w:rFonts w:ascii="Carlito" w:hAnsi="Carlito"/>
                <w:b/>
                <w:i w:val="0"/>
                <w:color w:val="FFFFFF"/>
                <w:sz w:val="19"/>
              </w:rPr>
              <w:t>Weight it carries here</w:t>
            </w:r>
          </w:p>
        </w:tc>
      </w:tr>
      <w:tr>
        <w:tc>
          <w:tcPr>
            <w:tcW w:type="dxa" w:w="2621"/>
          </w:tcPr>
          <w:p>
            <w:pPr>
              <w:spacing w:before="20" w:after="20" w:line="254" w:lineRule="auto"/>
            </w:pPr>
            <w:r>
              <w:rPr>
                <w:rFonts w:ascii="Carlito" w:hAnsi="Carlito"/>
                <w:b w:val="0"/>
                <w:i w:val="0"/>
                <w:sz w:val="19"/>
              </w:rPr>
              <w:t>Strength of association</w:t>
            </w:r>
          </w:p>
        </w:tc>
        <w:tc>
          <w:tcPr>
            <w:tcW w:type="dxa" w:w="2995"/>
          </w:tcPr>
          <w:p>
            <w:pPr>
              <w:spacing w:before="20" w:after="20" w:line="254" w:lineRule="auto"/>
            </w:pPr>
          </w:p>
        </w:tc>
        <w:tc>
          <w:tcPr>
            <w:tcW w:type="dxa" w:w="1498"/>
          </w:tcPr>
          <w:p>
            <w:pPr>
              <w:spacing w:before="20" w:after="20" w:line="254" w:lineRule="auto"/>
            </w:pPr>
          </w:p>
        </w:tc>
        <w:tc>
          <w:tcPr>
            <w:tcW w:type="dxa" w:w="2246"/>
          </w:tcPr>
          <w:p>
            <w:pPr>
              <w:spacing w:before="20" w:after="20" w:line="254" w:lineRule="auto"/>
            </w:pPr>
          </w:p>
          <w:p>
            <w:pPr>
              <w:spacing w:before="20" w:after="20" w:line="254" w:lineRule="auto"/>
            </w:pPr>
            <w:r>
              <w:rPr>
                <w:rFonts w:ascii="Carlito" w:hAnsi="Carlito"/>
                <w:b w:val="0"/>
                <w:i/>
                <w:color w:val="4A5B63"/>
                <w:sz w:val="17"/>
              </w:rPr>
              <w:t>A disproportionality statistic belongs here as screening context with its limits stated, never as evidence of causality.</w:t>
            </w:r>
          </w:p>
        </w:tc>
      </w:tr>
      <w:tr>
        <w:tc>
          <w:tcPr>
            <w:tcW w:type="dxa" w:w="2621"/>
          </w:tcPr>
          <w:p>
            <w:pPr>
              <w:spacing w:before="20" w:after="20" w:line="254" w:lineRule="auto"/>
            </w:pPr>
            <w:r>
              <w:rPr>
                <w:rFonts w:ascii="Carlito" w:hAnsi="Carlito"/>
                <w:b w:val="0"/>
                <w:i w:val="0"/>
                <w:sz w:val="19"/>
              </w:rPr>
              <w:t>Consistency across sources and settings</w:t>
            </w:r>
          </w:p>
        </w:tc>
        <w:tc>
          <w:tcPr>
            <w:tcW w:type="dxa" w:w="2995"/>
          </w:tcPr>
          <w:p>
            <w:pPr>
              <w:spacing w:before="20" w:after="20" w:line="254" w:lineRule="auto"/>
            </w:pPr>
          </w:p>
        </w:tc>
        <w:tc>
          <w:tcPr>
            <w:tcW w:type="dxa" w:w="1498"/>
          </w:tcPr>
          <w:p>
            <w:pPr>
              <w:spacing w:before="20" w:after="20" w:line="254" w:lineRule="auto"/>
            </w:pPr>
          </w:p>
        </w:tc>
        <w:tc>
          <w:tcPr>
            <w:tcW w:type="dxa" w:w="2246"/>
          </w:tcPr>
          <w:p>
            <w:pPr>
              <w:spacing w:before="20" w:after="20" w:line="254" w:lineRule="auto"/>
            </w:pPr>
          </w:p>
        </w:tc>
      </w:tr>
      <w:tr>
        <w:tc>
          <w:tcPr>
            <w:tcW w:type="dxa" w:w="2621"/>
          </w:tcPr>
          <w:p>
            <w:pPr>
              <w:spacing w:before="20" w:after="20" w:line="254" w:lineRule="auto"/>
            </w:pPr>
            <w:r>
              <w:rPr>
                <w:rFonts w:ascii="Carlito" w:hAnsi="Carlito"/>
                <w:b w:val="0"/>
                <w:i w:val="0"/>
                <w:sz w:val="19"/>
              </w:rPr>
              <w:t>Temporality and latency</w:t>
            </w:r>
          </w:p>
        </w:tc>
        <w:tc>
          <w:tcPr>
            <w:tcW w:type="dxa" w:w="2995"/>
          </w:tcPr>
          <w:p>
            <w:pPr>
              <w:spacing w:before="20" w:after="20" w:line="254" w:lineRule="auto"/>
            </w:pPr>
          </w:p>
        </w:tc>
        <w:tc>
          <w:tcPr>
            <w:tcW w:type="dxa" w:w="1498"/>
          </w:tcPr>
          <w:p>
            <w:pPr>
              <w:spacing w:before="20" w:after="20" w:line="254" w:lineRule="auto"/>
            </w:pPr>
          </w:p>
        </w:tc>
        <w:tc>
          <w:tcPr>
            <w:tcW w:type="dxa" w:w="2246"/>
          </w:tcPr>
          <w:p>
            <w:pPr>
              <w:spacing w:before="20" w:after="20" w:line="254" w:lineRule="auto"/>
            </w:pPr>
          </w:p>
        </w:tc>
      </w:tr>
      <w:tr>
        <w:tc>
          <w:tcPr>
            <w:tcW w:type="dxa" w:w="2621"/>
          </w:tcPr>
          <w:p>
            <w:pPr>
              <w:spacing w:before="20" w:after="20" w:line="254" w:lineRule="auto"/>
            </w:pPr>
            <w:r>
              <w:rPr>
                <w:rFonts w:ascii="Carlito" w:hAnsi="Carlito"/>
                <w:b w:val="0"/>
                <w:i w:val="0"/>
                <w:sz w:val="19"/>
              </w:rPr>
              <w:t>Dose or exposure relationship</w:t>
            </w:r>
          </w:p>
        </w:tc>
        <w:tc>
          <w:tcPr>
            <w:tcW w:type="dxa" w:w="2995"/>
          </w:tcPr>
          <w:p>
            <w:pPr>
              <w:spacing w:before="20" w:after="20" w:line="254" w:lineRule="auto"/>
            </w:pPr>
          </w:p>
        </w:tc>
        <w:tc>
          <w:tcPr>
            <w:tcW w:type="dxa" w:w="1498"/>
          </w:tcPr>
          <w:p>
            <w:pPr>
              <w:spacing w:before="20" w:after="20" w:line="254" w:lineRule="auto"/>
            </w:pPr>
          </w:p>
        </w:tc>
        <w:tc>
          <w:tcPr>
            <w:tcW w:type="dxa" w:w="2246"/>
          </w:tcPr>
          <w:p>
            <w:pPr>
              <w:spacing w:before="20" w:after="20" w:line="254" w:lineRule="auto"/>
            </w:pPr>
          </w:p>
        </w:tc>
      </w:tr>
      <w:tr>
        <w:tc>
          <w:tcPr>
            <w:tcW w:type="dxa" w:w="2621"/>
          </w:tcPr>
          <w:p>
            <w:pPr>
              <w:spacing w:before="20" w:after="20" w:line="254" w:lineRule="auto"/>
            </w:pPr>
            <w:r>
              <w:rPr>
                <w:rFonts w:ascii="Carlito" w:hAnsi="Carlito"/>
                <w:b w:val="0"/>
                <w:i w:val="0"/>
                <w:sz w:val="19"/>
              </w:rPr>
              <w:t>Biological plausibility and mechanism</w:t>
            </w:r>
          </w:p>
        </w:tc>
        <w:tc>
          <w:tcPr>
            <w:tcW w:type="dxa" w:w="2995"/>
          </w:tcPr>
          <w:p>
            <w:pPr>
              <w:spacing w:before="20" w:after="20" w:line="254" w:lineRule="auto"/>
            </w:pPr>
          </w:p>
        </w:tc>
        <w:tc>
          <w:tcPr>
            <w:tcW w:type="dxa" w:w="1498"/>
          </w:tcPr>
          <w:p>
            <w:pPr>
              <w:spacing w:before="20" w:after="20" w:line="254" w:lineRule="auto"/>
            </w:pPr>
          </w:p>
        </w:tc>
        <w:tc>
          <w:tcPr>
            <w:tcW w:type="dxa" w:w="2246"/>
          </w:tcPr>
          <w:p>
            <w:pPr>
              <w:spacing w:before="20" w:after="20" w:line="254" w:lineRule="auto"/>
            </w:pPr>
          </w:p>
          <w:p>
            <w:pPr>
              <w:spacing w:before="20" w:after="20" w:line="254" w:lineRule="auto"/>
            </w:pPr>
            <w:r>
              <w:rPr>
                <w:rFonts w:ascii="Carlito" w:hAnsi="Carlito"/>
                <w:b w:val="0"/>
                <w:i/>
                <w:color w:val="4A5B63"/>
                <w:sz w:val="17"/>
              </w:rPr>
              <w:t>Demonstrated beats asserted. State which.</w:t>
            </w:r>
          </w:p>
        </w:tc>
      </w:tr>
      <w:tr>
        <w:tc>
          <w:tcPr>
            <w:tcW w:type="dxa" w:w="2621"/>
          </w:tcPr>
          <w:p>
            <w:pPr>
              <w:spacing w:before="20" w:after="20" w:line="254" w:lineRule="auto"/>
            </w:pPr>
            <w:r>
              <w:rPr>
                <w:rFonts w:ascii="Carlito" w:hAnsi="Carlito"/>
                <w:b w:val="0"/>
                <w:i w:val="0"/>
                <w:sz w:val="19"/>
              </w:rPr>
              <w:t>Coherence with what is known of the disease and class</w:t>
            </w:r>
          </w:p>
        </w:tc>
        <w:tc>
          <w:tcPr>
            <w:tcW w:type="dxa" w:w="2995"/>
          </w:tcPr>
          <w:p>
            <w:pPr>
              <w:spacing w:before="20" w:after="20" w:line="254" w:lineRule="auto"/>
            </w:pPr>
          </w:p>
        </w:tc>
        <w:tc>
          <w:tcPr>
            <w:tcW w:type="dxa" w:w="1498"/>
          </w:tcPr>
          <w:p>
            <w:pPr>
              <w:spacing w:before="20" w:after="20" w:line="254" w:lineRule="auto"/>
            </w:pPr>
          </w:p>
        </w:tc>
        <w:tc>
          <w:tcPr>
            <w:tcW w:type="dxa" w:w="2246"/>
          </w:tcPr>
          <w:p>
            <w:pPr>
              <w:spacing w:before="20" w:after="20" w:line="254" w:lineRule="auto"/>
            </w:pPr>
          </w:p>
        </w:tc>
      </w:tr>
      <w:tr>
        <w:tc>
          <w:tcPr>
            <w:tcW w:type="dxa" w:w="2621"/>
          </w:tcPr>
          <w:p>
            <w:pPr>
              <w:spacing w:before="20" w:after="20" w:line="254" w:lineRule="auto"/>
            </w:pPr>
            <w:r>
              <w:rPr>
                <w:rFonts w:ascii="Carlito" w:hAnsi="Carlito"/>
                <w:b w:val="0"/>
                <w:i w:val="0"/>
                <w:sz w:val="19"/>
              </w:rPr>
              <w:t>Dechallenge</w:t>
            </w:r>
          </w:p>
        </w:tc>
        <w:tc>
          <w:tcPr>
            <w:tcW w:type="dxa" w:w="2995"/>
          </w:tcPr>
          <w:p>
            <w:pPr>
              <w:spacing w:before="20" w:after="20" w:line="254" w:lineRule="auto"/>
            </w:pPr>
          </w:p>
        </w:tc>
        <w:tc>
          <w:tcPr>
            <w:tcW w:type="dxa" w:w="1498"/>
          </w:tcPr>
          <w:p>
            <w:pPr>
              <w:spacing w:before="20" w:after="20" w:line="254" w:lineRule="auto"/>
            </w:pPr>
          </w:p>
        </w:tc>
        <w:tc>
          <w:tcPr>
            <w:tcW w:type="dxa" w:w="2246"/>
          </w:tcPr>
          <w:p>
            <w:pPr>
              <w:spacing w:before="20" w:after="20" w:line="254" w:lineRule="auto"/>
            </w:pPr>
          </w:p>
        </w:tc>
      </w:tr>
      <w:tr>
        <w:tc>
          <w:tcPr>
            <w:tcW w:type="dxa" w:w="2621"/>
          </w:tcPr>
          <w:p>
            <w:pPr>
              <w:spacing w:before="20" w:after="20" w:line="254" w:lineRule="auto"/>
            </w:pPr>
            <w:r>
              <w:rPr>
                <w:rFonts w:ascii="Carlito" w:hAnsi="Carlito"/>
                <w:b w:val="0"/>
                <w:i w:val="0"/>
                <w:sz w:val="19"/>
              </w:rPr>
              <w:t>Rechallenge</w:t>
            </w:r>
          </w:p>
        </w:tc>
        <w:tc>
          <w:tcPr>
            <w:tcW w:type="dxa" w:w="2995"/>
          </w:tcPr>
          <w:p>
            <w:pPr>
              <w:spacing w:before="20" w:after="20" w:line="254" w:lineRule="auto"/>
            </w:pPr>
          </w:p>
        </w:tc>
        <w:tc>
          <w:tcPr>
            <w:tcW w:type="dxa" w:w="1498"/>
          </w:tcPr>
          <w:p>
            <w:pPr>
              <w:spacing w:before="20" w:after="20" w:line="254" w:lineRule="auto"/>
            </w:pPr>
          </w:p>
        </w:tc>
        <w:tc>
          <w:tcPr>
            <w:tcW w:type="dxa" w:w="2246"/>
          </w:tcPr>
          <w:p>
            <w:pPr>
              <w:spacing w:before="20" w:after="20" w:line="254" w:lineRule="auto"/>
            </w:pPr>
          </w:p>
          <w:p>
            <w:pPr>
              <w:spacing w:before="20" w:after="20" w:line="254" w:lineRule="auto"/>
            </w:pPr>
            <w:r>
              <w:rPr>
                <w:rFonts w:ascii="Carlito" w:hAnsi="Carlito"/>
                <w:b w:val="0"/>
                <w:i/>
                <w:color w:val="4A5B63"/>
                <w:sz w:val="17"/>
              </w:rPr>
              <w:t>Verified positive rechallenge is the strongest case-level evidence available. Not done is not negative.</w:t>
            </w:r>
          </w:p>
        </w:tc>
      </w:tr>
      <w:tr>
        <w:tc>
          <w:tcPr>
            <w:tcW w:type="dxa" w:w="2621"/>
          </w:tcPr>
          <w:p>
            <w:pPr>
              <w:spacing w:before="20" w:after="20" w:line="254" w:lineRule="auto"/>
            </w:pPr>
            <w:r>
              <w:rPr>
                <w:rFonts w:ascii="Carlito" w:hAnsi="Carlito"/>
                <w:b w:val="0"/>
                <w:i w:val="0"/>
                <w:sz w:val="19"/>
              </w:rPr>
              <w:t>Analogy within the class</w:t>
            </w:r>
          </w:p>
        </w:tc>
        <w:tc>
          <w:tcPr>
            <w:tcW w:type="dxa" w:w="2995"/>
          </w:tcPr>
          <w:p>
            <w:pPr>
              <w:spacing w:before="20" w:after="20" w:line="254" w:lineRule="auto"/>
            </w:pPr>
          </w:p>
        </w:tc>
        <w:tc>
          <w:tcPr>
            <w:tcW w:type="dxa" w:w="1498"/>
          </w:tcPr>
          <w:p>
            <w:pPr>
              <w:spacing w:before="20" w:after="20" w:line="254" w:lineRule="auto"/>
            </w:pPr>
          </w:p>
        </w:tc>
        <w:tc>
          <w:tcPr>
            <w:tcW w:type="dxa" w:w="2246"/>
          </w:tcPr>
          <w:p>
            <w:pPr>
              <w:spacing w:before="20" w:after="20" w:line="254" w:lineRule="auto"/>
            </w:pPr>
          </w:p>
        </w:tc>
      </w:tr>
      <w:tr>
        <w:tc>
          <w:tcPr>
            <w:tcW w:type="dxa" w:w="2621"/>
          </w:tcPr>
          <w:p>
            <w:pPr>
              <w:spacing w:before="20" w:after="20" w:line="254" w:lineRule="auto"/>
            </w:pPr>
            <w:r>
              <w:rPr>
                <w:rFonts w:ascii="Carlito" w:hAnsi="Carlito"/>
                <w:b w:val="0"/>
                <w:i w:val="0"/>
                <w:sz w:val="19"/>
              </w:rPr>
              <w:t>Specificity of the phenotype</w:t>
            </w:r>
          </w:p>
        </w:tc>
        <w:tc>
          <w:tcPr>
            <w:tcW w:type="dxa" w:w="2995"/>
          </w:tcPr>
          <w:p>
            <w:pPr>
              <w:spacing w:before="20" w:after="20" w:line="254" w:lineRule="auto"/>
            </w:pPr>
          </w:p>
        </w:tc>
        <w:tc>
          <w:tcPr>
            <w:tcW w:type="dxa" w:w="1498"/>
          </w:tcPr>
          <w:p>
            <w:pPr>
              <w:spacing w:before="20" w:after="20" w:line="254" w:lineRule="auto"/>
            </w:pPr>
          </w:p>
        </w:tc>
        <w:tc>
          <w:tcPr>
            <w:tcW w:type="dxa" w:w="2246"/>
          </w:tcPr>
          <w:p>
            <w:pPr>
              <w:spacing w:before="20" w:after="20" w:line="254" w:lineRule="auto"/>
            </w:pPr>
          </w:p>
        </w:tc>
      </w:tr>
    </w:tbl>
    <w:p>
      <w:pPr>
        <w:spacing w:after="40"/>
      </w:pPr>
    </w:p>
    <w:p>
      <w:pPr>
        <w:spacing w:before="40" w:after="160"/>
        <w:pBdr>
          <w:bottom w:val="single" w:sz="6" w:space="1" w:color="9FBAC0"/>
        </w:pBdr>
      </w:pPr>
    </w:p>
    <w:p>
      <w:r>
        <w:rPr>
          <w:rFonts w:ascii="Carlito" w:hAnsi="Carlito"/>
          <w:i/>
          <w:color w:val="4A5B63"/>
          <w:sz w:val="18"/>
        </w:rPr>
        <w:t>This template is educational. It does not replace applicable law, current regulatory guidance, medical judgment, or company procedures. Adapt it to your own procedures before use.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color w:val="4A5B63"/>
        <w:sz w:val="16"/>
      </w:rPr>
      <w:t>T-14 Causal Reasoning Template · Signal Management in Pharmacovigilance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9" w:lineRule="auto"/>
    </w:pPr>
    <w:rPr>
      <w:rFonts w:ascii="Carlito" w:hAnsi="Carlito" w:cs="Carlito" w:eastAsia="Carlito"/>
      <w:color w:val="1E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keepNext/>
    </w:pPr>
    <w:rPr>
      <w:rFonts w:asciiTheme="majorHAnsi" w:eastAsiaTheme="majorEastAsia" w:hAnsiTheme="majorHAnsi" w:cstheme="majorBidi" w:ascii="Caladea" w:hAnsi="Caladea" w:cs="Caladea" w:eastAsia="Caladea"/>
      <w:b/>
      <w:bCs/>
      <w:color w:val="1F5661"/>
      <w:sz w:val="29"/>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keepNext/>
    </w:pPr>
    <w:rPr>
      <w:rFonts w:asciiTheme="majorHAnsi" w:eastAsiaTheme="majorEastAsia" w:hAnsiTheme="majorHAnsi" w:cstheme="majorBidi" w:ascii="Caladea" w:hAnsi="Caladea" w:cs="Caladea" w:eastAsia="Caladea"/>
      <w:b/>
      <w:bCs/>
      <w:color w:val="1F5661"/>
      <w:sz w:val="24"/>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keepNext/>
    </w:pPr>
    <w:rPr>
      <w:rFonts w:asciiTheme="majorHAnsi" w:eastAsiaTheme="majorEastAsia" w:hAnsiTheme="majorHAnsi" w:cstheme="majorBidi" w:ascii="Caladea" w:hAnsi="Caladea" w:cs="Caladea" w:eastAsia="Caladea"/>
      <w:b/>
      <w:bCs/>
      <w:color w:val="1F566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0"/>
      <w:contextualSpacing/>
    </w:pPr>
    <w:rPr>
      <w:rFonts w:asciiTheme="majorHAnsi" w:eastAsiaTheme="majorEastAsia" w:hAnsiTheme="majorHAnsi" w:cstheme="majorBidi" w:ascii="Caladea" w:hAnsi="Caladea" w:cs="Caladea" w:eastAsia="Caladea"/>
      <w:b/>
      <w:color w:val="1F566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basedOn w:val="Normal"/>
    <w:pPr>
      <w:spacing w:before="0" w:after="140"/>
    </w:pPr>
    <w:rPr>
      <w:rFonts w:ascii="Carlito" w:hAnsi="Carlito" w:cs="Carlito" w:eastAsia="Carlito"/>
      <w:i/>
      <w:color w:val="4A5B63"/>
      <w:sz w:val="19"/>
    </w:rPr>
  </w:style>
  <w:style w:type="paragraph" w:customStyle="1" w:styleId="SubtleNote">
    <w:name w:val="SubtleNote"/>
    <w:basedOn w:val="Normal"/>
    <w:pPr>
      <w:spacing w:before="0" w:after="100"/>
    </w:pPr>
    <w:rPr>
      <w:rFonts w:ascii="Carlito" w:hAnsi="Carlito" w:cs="Carlito" w:eastAsia="Carlito"/>
      <w:color w:val="4A5B63"/>
      <w:sz w:val="19"/>
    </w:rPr>
  </w:style>
  <w:style w:type="table" w:styleId="ToolkitTable">
    <w:name w:val="Toolkit Table"/>
    <w:basedOn w:val="TableNormal"/>
    <w:uiPriority w:val="59"/>
    <w:qFormat/>
    <w:rPr>
      <w:rFonts w:ascii="Carlito" w:hAnsi="Carlito" w:cs="Carlito"/>
      <w:color w:val="1E2A32"/>
      <w:sz w:val="19"/>
    </w:rPr>
    <w:tblPr>
      <w:tblStyleRowBandSize w:val="1"/>
      <w:tblBorders>
        <w:top w:val="single" w:sz="4" w:space="0" w:color="9FBAC0"/>
        <w:left w:val="single" w:sz="4" w:space="0" w:color="9FBAC0"/>
        <w:bottom w:val="single" w:sz="4" w:space="0" w:color="9FBAC0"/>
        <w:right w:val="single" w:sz="4" w:space="0" w:color="9FBAC0"/>
        <w:insideH w:val="single" w:sz="4" w:space="0" w:color="9FBAC0"/>
        <w:insideV w:val="single" w:sz="4" w:space="0" w:color="9FBAC0"/>
      </w:tblBorders>
      <w:tblCellMar>
        <w:top w:w="72" w:type="dxa"/>
        <w:left w:w="101" w:type="dxa"/>
        <w:bottom w:w="72" w:type="dxa"/>
        <w:right w:w="101" w:type="dxa"/>
      </w:tblCellMar>
    </w:tblPr>
    <w:tblStylePr w:type="firstRow">
      <w:pPr>
        <w:keepNext/>
        <w:spacing w:before="20" w:after="20"/>
      </w:pPr>
      <w:rPr>
        <w:rFonts w:ascii="Carlito" w:hAnsi="Carlito"/>
        <w:b/>
        <w:color w:val="FFFFFF"/>
      </w:rPr>
      <w:tcPr>
        <w:shd w:val="clear" w:color="auto" w:fill="1F5661"/>
      </w:tcPr>
    </w:tblStylePr>
    <w:tblStylePr w:type="band1Horz">
      <w:tcPr>
        <w:shd w:val="clear" w:color="auto" w:fill="E8EFE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