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T-15 — Benefit–Risk Assessment Worksheet</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Complete for one emerging risk, not for the product as a whole, and before the committee meets — not afterwards to support a decision already taken.</w:t>
      </w:r>
    </w:p>
    <w:p>
      <w:r>
        <w:t>Sections 1 to 5 are qualitative and are the minimum. A balance can be stated responsibly from them alone when the risk cannot be quantified, which is the usual situation early in a signal's life. Section 6 is an optional quantitative appendix for use when absolute estimates exist on both sides of the balance. Where they do not, leave it empty rather than populating it with reporting rates presented as incidences.</w:t>
      </w:r>
    </w:p>
    <w:p>
      <w:pPr>
        <w:pStyle w:val="Prompt"/>
      </w:pPr>
      <w:r>
        <w:t>Section 5 is most often left blank and most often changes the recommended action. Do it.</w:t>
      </w:r>
    </w:p>
    <w:p>
      <w:pPr>
        <w:pStyle w:val="SubtleNote"/>
      </w:pPr>
      <w:r>
        <w:t>The structure and any thresholds entered are a company design, not a regulatory requirement, and should be described as such wherever the worksheet is shared outside the company. CIOMS Working Group XII, Benefit–Risk Balance for Medicinal Products (2025), is the current reference treatment.</w:t>
      </w:r>
    </w:p>
    <w:p>
      <w:pPr>
        <w:pStyle w:val="Heading1"/>
      </w:pPr>
      <w:r>
        <w:t>1. Question and scope</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Product</w:t>
            </w:r>
          </w:p>
        </w:tc>
        <w:tc>
          <w:tcPr>
            <w:tcW w:type="dxa" w:w="3744"/>
          </w:tcPr>
          <w:p>
            <w:pPr>
              <w:spacing w:before="20" w:after="20" w:line="254" w:lineRule="auto"/>
            </w:pPr>
            <w:r>
              <w:rPr>
                <w:rFonts w:ascii="Carlito" w:hAnsi="Carlito"/>
                <w:b w:val="0"/>
                <w:i w:val="0"/>
                <w:sz w:val="19"/>
              </w:rPr>
              <w:t>Active moiety, formulation, route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Risk under evaluation</w:t>
            </w:r>
          </w:p>
        </w:tc>
        <w:tc>
          <w:tcPr>
            <w:tcW w:type="dxa" w:w="3744"/>
          </w:tcPr>
          <w:p>
            <w:pPr>
              <w:spacing w:before="20" w:after="20" w:line="254" w:lineRule="auto"/>
            </w:pPr>
            <w:r>
              <w:rPr>
                <w:rFonts w:ascii="Carlito" w:hAnsi="Carlito"/>
                <w:b w:val="0"/>
                <w:i w:val="0"/>
                <w:sz w:val="19"/>
              </w:rPr>
              <w:t>The single risk this worksheet addresses, with its definition</w:t>
            </w:r>
          </w:p>
          <w:p>
            <w:pPr>
              <w:spacing w:before="20" w:after="20" w:line="254" w:lineRule="auto"/>
            </w:pPr>
            <w:r>
              <w:rPr>
                <w:rFonts w:ascii="Carlito" w:hAnsi="Carlito"/>
                <w:b w:val="0"/>
                <w:i/>
                <w:color w:val="4A5B63"/>
                <w:sz w:val="17"/>
              </w:rPr>
              <w:t>One risk per worksheet. A worksheet covering three risks will conclude about none of them.</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Authorized indication and population</w:t>
            </w:r>
          </w:p>
        </w:tc>
        <w:tc>
          <w:tcPr>
            <w:tcW w:type="dxa" w:w="3744"/>
          </w:tcPr>
          <w:p>
            <w:pPr>
              <w:spacing w:before="20" w:after="20" w:line="254" w:lineRule="auto"/>
            </w:pPr>
            <w:r>
              <w:rPr>
                <w:rFonts w:ascii="Carlito" w:hAnsi="Carlito"/>
                <w:b w:val="0"/>
                <w:i w:val="0"/>
                <w:sz w:val="19"/>
              </w:rPr>
              <w:t>As authorized, with any off-label use known to be material</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Data cut</w:t>
            </w:r>
          </w:p>
        </w:tc>
        <w:tc>
          <w:tcPr>
            <w:tcW w:type="dxa" w:w="3744"/>
          </w:tcPr>
          <w:p>
            <w:pPr>
              <w:spacing w:before="20" w:after="20" w:line="254" w:lineRule="auto"/>
            </w:pPr>
            <w:r>
              <w:rPr>
                <w:rFonts w:ascii="Carlito" w:hAnsi="Carlito"/>
                <w:b w:val="0"/>
                <w:i w:val="0"/>
                <w:sz w:val="19"/>
              </w:rPr>
              <w:t>Frozen date of every dataset used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Whole population or a named subgroup?</w:t>
            </w:r>
          </w:p>
        </w:tc>
        <w:tc>
          <w:tcPr>
            <w:tcW w:type="dxa" w:w="3744"/>
          </w:tcPr>
          <w:p>
            <w:pPr>
              <w:spacing w:before="20" w:after="20" w:line="254" w:lineRule="auto"/>
            </w:pPr>
            <w:r>
              <w:rPr>
                <w:rFonts w:ascii="Carlito" w:hAnsi="Carlito"/>
                <w:b w:val="0"/>
                <w:i w:val="0"/>
                <w:sz w:val="19"/>
              </w:rPr>
              <w:t>State which, and why</w:t>
            </w:r>
          </w:p>
        </w:tc>
        <w:tc>
          <w:tcPr>
            <w:tcW w:type="dxa" w:w="3557"/>
          </w:tcPr>
          <w:p>
            <w:pPr>
              <w:spacing w:before="20" w:after="20" w:line="254" w:lineRule="auto"/>
            </w:pPr>
          </w:p>
        </w:tc>
      </w:tr>
    </w:tbl>
    <w:p>
      <w:pPr>
        <w:spacing w:after="40"/>
      </w:pPr>
    </w:p>
    <w:p>
      <w:pPr>
        <w:pStyle w:val="Heading1"/>
      </w:pPr>
      <w:r>
        <w:t>2. Favorable effects</w:t>
      </w:r>
    </w:p>
    <w:p>
      <w:r>
        <w:t>One row per benefit. Absolute magnitude, not relative, and per a stated denominator.</w:t>
      </w:r>
    </w:p>
    <w:tbl>
      <w:tblPr>
        <w:tblStyle w:val="ToolkitTable"/>
        <w:tblW w:type="auto" w:w="0"/>
        <w:jc w:val="left"/>
        <w:tblLayout w:type="fixed"/>
        <w:tblLook w:val="04A0" w:firstRow="1" w:lastRow="0" w:firstColumn="0" w:lastColumn="0" w:noHBand="0" w:noVBand="1"/>
      </w:tblPr>
      <w:tblGrid>
        <w:gridCol w:w="1685"/>
        <w:gridCol w:w="1685"/>
        <w:gridCol w:w="1030"/>
        <w:gridCol w:w="1966"/>
        <w:gridCol w:w="1778"/>
        <w:gridCol w:w="1217"/>
      </w:tblGrid>
      <w:tr>
        <w:trPr>
          <w:tblHeader/>
        </w:trPr>
        <w:tc>
          <w:tcPr>
            <w:tcW w:type="dxa" w:w="1685"/>
          </w:tcPr>
          <w:p>
            <w:pPr>
              <w:spacing w:before="20" w:after="20" w:line="254" w:lineRule="auto"/>
            </w:pPr>
            <w:r>
              <w:rPr>
                <w:rFonts w:ascii="Carlito" w:hAnsi="Carlito"/>
                <w:b/>
                <w:i w:val="0"/>
                <w:color w:val="FFFFFF"/>
                <w:sz w:val="19"/>
              </w:rPr>
              <w:t>Benefit</w:t>
            </w:r>
          </w:p>
        </w:tc>
        <w:tc>
          <w:tcPr>
            <w:tcW w:type="dxa" w:w="1685"/>
          </w:tcPr>
          <w:p>
            <w:pPr>
              <w:spacing w:before="20" w:after="20" w:line="254" w:lineRule="auto"/>
            </w:pPr>
            <w:r>
              <w:rPr>
                <w:rFonts w:ascii="Carlito" w:hAnsi="Carlito"/>
                <w:b/>
                <w:i w:val="0"/>
                <w:color w:val="FFFFFF"/>
                <w:sz w:val="19"/>
              </w:rPr>
              <w:t>Absolute magnitude per 10,000 treated</w:t>
            </w:r>
          </w:p>
        </w:tc>
        <w:tc>
          <w:tcPr>
            <w:tcW w:type="dxa" w:w="1030"/>
          </w:tcPr>
          <w:p>
            <w:pPr>
              <w:spacing w:before="20" w:after="20" w:line="254" w:lineRule="auto"/>
            </w:pPr>
            <w:r>
              <w:rPr>
                <w:rFonts w:ascii="Carlito" w:hAnsi="Carlito"/>
                <w:b/>
                <w:i w:val="0"/>
                <w:color w:val="FFFFFF"/>
                <w:sz w:val="19"/>
              </w:rPr>
              <w:t>Time period</w:t>
            </w:r>
          </w:p>
        </w:tc>
        <w:tc>
          <w:tcPr>
            <w:tcW w:type="dxa" w:w="1966"/>
          </w:tcPr>
          <w:p>
            <w:pPr>
              <w:spacing w:before="20" w:after="20" w:line="254" w:lineRule="auto"/>
            </w:pPr>
            <w:r>
              <w:rPr>
                <w:rFonts w:ascii="Carlito" w:hAnsi="Carlito"/>
                <w:b/>
                <w:i w:val="0"/>
                <w:color w:val="FFFFFF"/>
                <w:sz w:val="19"/>
              </w:rPr>
              <w:t>Endpoint and its clinical relevance</w:t>
            </w:r>
          </w:p>
        </w:tc>
        <w:tc>
          <w:tcPr>
            <w:tcW w:type="dxa" w:w="1778"/>
          </w:tcPr>
          <w:p>
            <w:pPr>
              <w:spacing w:before="20" w:after="20" w:line="254" w:lineRule="auto"/>
            </w:pPr>
            <w:r>
              <w:rPr>
                <w:rFonts w:ascii="Carlito" w:hAnsi="Carlito"/>
                <w:b/>
                <w:i w:val="0"/>
                <w:color w:val="FFFFFF"/>
                <w:sz w:val="19"/>
              </w:rPr>
              <w:t>Source and population studied</w:t>
            </w:r>
          </w:p>
        </w:tc>
        <w:tc>
          <w:tcPr>
            <w:tcW w:type="dxa" w:w="1217"/>
          </w:tcPr>
          <w:p>
            <w:pPr>
              <w:spacing w:before="20" w:after="20" w:line="254" w:lineRule="auto"/>
            </w:pPr>
            <w:r>
              <w:rPr>
                <w:rFonts w:ascii="Carlito" w:hAnsi="Carlito"/>
                <w:b/>
                <w:i w:val="0"/>
                <w:color w:val="FFFFFF"/>
                <w:sz w:val="19"/>
              </w:rPr>
              <w:t>Uncertainty</w:t>
            </w:r>
          </w:p>
        </w:tc>
      </w:tr>
      <w:tr>
        <w:tc>
          <w:tcPr>
            <w:tcW w:type="dxa" w:w="1685"/>
          </w:tcPr>
          <w:p>
            <w:pPr>
              <w:spacing w:before="20" w:after="20" w:line="254" w:lineRule="auto"/>
            </w:pPr>
          </w:p>
        </w:tc>
        <w:tc>
          <w:tcPr>
            <w:tcW w:type="dxa" w:w="1685"/>
          </w:tcPr>
          <w:p>
            <w:pPr>
              <w:spacing w:before="20" w:after="20" w:line="254" w:lineRule="auto"/>
            </w:pPr>
          </w:p>
        </w:tc>
        <w:tc>
          <w:tcPr>
            <w:tcW w:type="dxa" w:w="1030"/>
          </w:tcPr>
          <w:p>
            <w:pPr>
              <w:spacing w:before="20" w:after="20" w:line="254" w:lineRule="auto"/>
            </w:pPr>
          </w:p>
        </w:tc>
        <w:tc>
          <w:tcPr>
            <w:tcW w:type="dxa" w:w="1966"/>
          </w:tcPr>
          <w:p>
            <w:pPr>
              <w:spacing w:before="20" w:after="20" w:line="254" w:lineRule="auto"/>
            </w:pPr>
          </w:p>
        </w:tc>
        <w:tc>
          <w:tcPr>
            <w:tcW w:type="dxa" w:w="1778"/>
          </w:tcPr>
          <w:p>
            <w:pPr>
              <w:spacing w:before="20" w:after="20" w:line="254" w:lineRule="auto"/>
            </w:pPr>
          </w:p>
        </w:tc>
        <w:tc>
          <w:tcPr>
            <w:tcW w:type="dxa" w:w="1217"/>
          </w:tcPr>
          <w:p>
            <w:pPr>
              <w:spacing w:before="20" w:after="20" w:line="254" w:lineRule="auto"/>
            </w:pPr>
          </w:p>
        </w:tc>
      </w:tr>
      <w:tr>
        <w:tc>
          <w:tcPr>
            <w:tcW w:type="dxa" w:w="1685"/>
          </w:tcPr>
          <w:p>
            <w:pPr>
              <w:spacing w:before="20" w:after="20" w:line="254" w:lineRule="auto"/>
            </w:pPr>
          </w:p>
        </w:tc>
        <w:tc>
          <w:tcPr>
            <w:tcW w:type="dxa" w:w="1685"/>
          </w:tcPr>
          <w:p>
            <w:pPr>
              <w:spacing w:before="20" w:after="20" w:line="254" w:lineRule="auto"/>
            </w:pPr>
          </w:p>
        </w:tc>
        <w:tc>
          <w:tcPr>
            <w:tcW w:type="dxa" w:w="1030"/>
          </w:tcPr>
          <w:p>
            <w:pPr>
              <w:spacing w:before="20" w:after="20" w:line="254" w:lineRule="auto"/>
            </w:pPr>
          </w:p>
        </w:tc>
        <w:tc>
          <w:tcPr>
            <w:tcW w:type="dxa" w:w="1966"/>
          </w:tcPr>
          <w:p>
            <w:pPr>
              <w:spacing w:before="20" w:after="20" w:line="254" w:lineRule="auto"/>
            </w:pPr>
          </w:p>
        </w:tc>
        <w:tc>
          <w:tcPr>
            <w:tcW w:type="dxa" w:w="1778"/>
          </w:tcPr>
          <w:p>
            <w:pPr>
              <w:spacing w:before="20" w:after="20" w:line="254" w:lineRule="auto"/>
            </w:pPr>
          </w:p>
        </w:tc>
        <w:tc>
          <w:tcPr>
            <w:tcW w:type="dxa" w:w="1217"/>
          </w:tcPr>
          <w:p>
            <w:pPr>
              <w:spacing w:before="20" w:after="20" w:line="254" w:lineRule="auto"/>
            </w:pPr>
          </w:p>
        </w:tc>
      </w:tr>
      <w:tr>
        <w:tc>
          <w:tcPr>
            <w:tcW w:type="dxa" w:w="1685"/>
          </w:tcPr>
          <w:p>
            <w:pPr>
              <w:spacing w:before="20" w:after="20" w:line="254" w:lineRule="auto"/>
            </w:pPr>
          </w:p>
        </w:tc>
        <w:tc>
          <w:tcPr>
            <w:tcW w:type="dxa" w:w="1685"/>
          </w:tcPr>
          <w:p>
            <w:pPr>
              <w:spacing w:before="20" w:after="20" w:line="254" w:lineRule="auto"/>
            </w:pPr>
          </w:p>
        </w:tc>
        <w:tc>
          <w:tcPr>
            <w:tcW w:type="dxa" w:w="1030"/>
          </w:tcPr>
          <w:p>
            <w:pPr>
              <w:spacing w:before="20" w:after="20" w:line="254" w:lineRule="auto"/>
            </w:pPr>
          </w:p>
        </w:tc>
        <w:tc>
          <w:tcPr>
            <w:tcW w:type="dxa" w:w="1966"/>
          </w:tcPr>
          <w:p>
            <w:pPr>
              <w:spacing w:before="20" w:after="20" w:line="254" w:lineRule="auto"/>
            </w:pPr>
          </w:p>
        </w:tc>
        <w:tc>
          <w:tcPr>
            <w:tcW w:type="dxa" w:w="1778"/>
          </w:tcPr>
          <w:p>
            <w:pPr>
              <w:spacing w:before="20" w:after="20" w:line="254" w:lineRule="auto"/>
            </w:pPr>
          </w:p>
        </w:tc>
        <w:tc>
          <w:tcPr>
            <w:tcW w:type="dxa" w:w="1217"/>
          </w:tcPr>
          <w:p>
            <w:pPr>
              <w:spacing w:before="20" w:after="20" w:line="254" w:lineRule="auto"/>
            </w:pPr>
          </w:p>
        </w:tc>
      </w:tr>
      <w:tr>
        <w:tc>
          <w:tcPr>
            <w:tcW w:type="dxa" w:w="1685"/>
          </w:tcPr>
          <w:p>
            <w:pPr>
              <w:spacing w:before="20" w:after="20" w:line="254" w:lineRule="auto"/>
            </w:pPr>
          </w:p>
        </w:tc>
        <w:tc>
          <w:tcPr>
            <w:tcW w:type="dxa" w:w="1685"/>
          </w:tcPr>
          <w:p>
            <w:pPr>
              <w:spacing w:before="20" w:after="20" w:line="254" w:lineRule="auto"/>
            </w:pPr>
          </w:p>
        </w:tc>
        <w:tc>
          <w:tcPr>
            <w:tcW w:type="dxa" w:w="1030"/>
          </w:tcPr>
          <w:p>
            <w:pPr>
              <w:spacing w:before="20" w:after="20" w:line="254" w:lineRule="auto"/>
            </w:pPr>
          </w:p>
        </w:tc>
        <w:tc>
          <w:tcPr>
            <w:tcW w:type="dxa" w:w="1966"/>
          </w:tcPr>
          <w:p>
            <w:pPr>
              <w:spacing w:before="20" w:after="20" w:line="254" w:lineRule="auto"/>
            </w:pPr>
          </w:p>
        </w:tc>
        <w:tc>
          <w:tcPr>
            <w:tcW w:type="dxa" w:w="1778"/>
          </w:tcPr>
          <w:p>
            <w:pPr>
              <w:spacing w:before="20" w:after="20" w:line="254" w:lineRule="auto"/>
            </w:pPr>
          </w:p>
        </w:tc>
        <w:tc>
          <w:tcPr>
            <w:tcW w:type="dxa" w:w="1217"/>
          </w:tcPr>
          <w:p>
            <w:pPr>
              <w:spacing w:before="20" w:after="20" w:line="254" w:lineRule="auto"/>
            </w:pPr>
          </w:p>
        </w:tc>
      </w:tr>
    </w:tbl>
    <w:p>
      <w:pPr>
        <w:spacing w:after="40"/>
      </w:pPr>
    </w:p>
    <w:p>
      <w:pPr>
        <w:pStyle w:val="Prompt"/>
      </w:pPr>
      <w:r>
        <w:t>A relative risk reduction with no absolute figure cannot be weighed against an absolute harm. Convert it, and show the conversion.</w:t>
      </w:r>
    </w:p>
    <w:p>
      <w:pPr>
        <w:pStyle w:val="Heading1"/>
      </w:pPr>
      <w:r>
        <w:t>3. Unfavorable effects</w:t>
      </w:r>
    </w:p>
    <w:tbl>
      <w:tblPr>
        <w:tblStyle w:val="ToolkitTable"/>
        <w:tblW w:type="auto" w:w="0"/>
        <w:jc w:val="left"/>
        <w:tblLayout w:type="fixed"/>
        <w:tblLook w:val="04A0" w:firstRow="1" w:lastRow="0" w:firstColumn="0" w:lastColumn="0" w:noHBand="0" w:noVBand="1"/>
      </w:tblPr>
      <w:tblGrid>
        <w:gridCol w:w="1217"/>
        <w:gridCol w:w="1685"/>
        <w:gridCol w:w="936"/>
        <w:gridCol w:w="1030"/>
        <w:gridCol w:w="1123"/>
        <w:gridCol w:w="1404"/>
        <w:gridCol w:w="1123"/>
        <w:gridCol w:w="842"/>
      </w:tblGrid>
      <w:tr>
        <w:trPr>
          <w:tblHeader/>
        </w:trPr>
        <w:tc>
          <w:tcPr>
            <w:tcW w:type="dxa" w:w="1217"/>
          </w:tcPr>
          <w:p>
            <w:pPr>
              <w:spacing w:before="20" w:after="20" w:line="254" w:lineRule="auto"/>
            </w:pPr>
            <w:r>
              <w:rPr>
                <w:rFonts w:ascii="Carlito" w:hAnsi="Carlito"/>
                <w:b/>
                <w:i w:val="0"/>
                <w:color w:val="FFFFFF"/>
                <w:sz w:val="19"/>
              </w:rPr>
              <w:t>Risk</w:t>
            </w:r>
          </w:p>
        </w:tc>
        <w:tc>
          <w:tcPr>
            <w:tcW w:type="dxa" w:w="1685"/>
          </w:tcPr>
          <w:p>
            <w:pPr>
              <w:spacing w:before="20" w:after="20" w:line="254" w:lineRule="auto"/>
            </w:pPr>
            <w:r>
              <w:rPr>
                <w:rFonts w:ascii="Carlito" w:hAnsi="Carlito"/>
                <w:b/>
                <w:i w:val="0"/>
                <w:color w:val="FFFFFF"/>
                <w:sz w:val="19"/>
              </w:rPr>
              <w:t>Absolute frequency, or “not estimable” with reason</w:t>
            </w:r>
          </w:p>
        </w:tc>
        <w:tc>
          <w:tcPr>
            <w:tcW w:type="dxa" w:w="936"/>
          </w:tcPr>
          <w:p>
            <w:pPr>
              <w:spacing w:before="20" w:after="20" w:line="254" w:lineRule="auto"/>
            </w:pPr>
            <w:r>
              <w:rPr>
                <w:rFonts w:ascii="Carlito" w:hAnsi="Carlito"/>
                <w:b/>
                <w:i w:val="0"/>
                <w:color w:val="FFFFFF"/>
                <w:sz w:val="19"/>
              </w:rPr>
              <w:t>Severity</w:t>
            </w:r>
          </w:p>
        </w:tc>
        <w:tc>
          <w:tcPr>
            <w:tcW w:type="dxa" w:w="1030"/>
          </w:tcPr>
          <w:p>
            <w:pPr>
              <w:spacing w:before="20" w:after="20" w:line="254" w:lineRule="auto"/>
            </w:pPr>
            <w:r>
              <w:rPr>
                <w:rFonts w:ascii="Carlito" w:hAnsi="Carlito"/>
                <w:b/>
                <w:i w:val="0"/>
                <w:color w:val="FFFFFF"/>
                <w:sz w:val="19"/>
              </w:rPr>
              <w:t>Reversibility</w:t>
            </w:r>
          </w:p>
        </w:tc>
        <w:tc>
          <w:tcPr>
            <w:tcW w:type="dxa" w:w="1123"/>
          </w:tcPr>
          <w:p>
            <w:pPr>
              <w:spacing w:before="20" w:after="20" w:line="254" w:lineRule="auto"/>
            </w:pPr>
            <w:r>
              <w:rPr>
                <w:rFonts w:ascii="Carlito" w:hAnsi="Carlito"/>
                <w:b/>
                <w:i w:val="0"/>
                <w:color w:val="FFFFFF"/>
                <w:sz w:val="19"/>
              </w:rPr>
              <w:t>Preventability</w:t>
            </w:r>
          </w:p>
        </w:tc>
        <w:tc>
          <w:tcPr>
            <w:tcW w:type="dxa" w:w="1404"/>
          </w:tcPr>
          <w:p>
            <w:pPr>
              <w:spacing w:before="20" w:after="20" w:line="254" w:lineRule="auto"/>
            </w:pPr>
            <w:r>
              <w:rPr>
                <w:rFonts w:ascii="Carlito" w:hAnsi="Carlito"/>
                <w:b/>
                <w:i w:val="0"/>
                <w:color w:val="FFFFFF"/>
                <w:sz w:val="19"/>
              </w:rPr>
              <w:t>Onset distribution and duration</w:t>
            </w:r>
          </w:p>
        </w:tc>
        <w:tc>
          <w:tcPr>
            <w:tcW w:type="dxa" w:w="1123"/>
          </w:tcPr>
          <w:p>
            <w:pPr>
              <w:spacing w:before="20" w:after="20" w:line="254" w:lineRule="auto"/>
            </w:pPr>
            <w:r>
              <w:rPr>
                <w:rFonts w:ascii="Carlito" w:hAnsi="Carlito"/>
                <w:b/>
                <w:i w:val="0"/>
                <w:color w:val="FFFFFF"/>
                <w:sz w:val="19"/>
              </w:rPr>
              <w:t>Susceptible groups</w:t>
            </w:r>
          </w:p>
        </w:tc>
        <w:tc>
          <w:tcPr>
            <w:tcW w:type="dxa" w:w="842"/>
          </w:tcPr>
          <w:p>
            <w:pPr>
              <w:spacing w:before="20" w:after="20" w:line="254" w:lineRule="auto"/>
            </w:pPr>
            <w:r>
              <w:rPr>
                <w:rFonts w:ascii="Carlito" w:hAnsi="Carlito"/>
                <w:b/>
                <w:i w:val="0"/>
                <w:color w:val="FFFFFF"/>
                <w:sz w:val="19"/>
              </w:rPr>
              <w:t>Source</w:t>
            </w:r>
          </w:p>
        </w:tc>
      </w:tr>
      <w:tr>
        <w:tc>
          <w:tcPr>
            <w:tcW w:type="dxa" w:w="1217"/>
          </w:tcPr>
          <w:p>
            <w:pPr>
              <w:spacing w:before="20" w:after="20" w:line="254" w:lineRule="auto"/>
            </w:pPr>
          </w:p>
        </w:tc>
        <w:tc>
          <w:tcPr>
            <w:tcW w:type="dxa" w:w="1685"/>
          </w:tcPr>
          <w:p>
            <w:pPr>
              <w:spacing w:before="20" w:after="20" w:line="254" w:lineRule="auto"/>
            </w:pPr>
          </w:p>
        </w:tc>
        <w:tc>
          <w:tcPr>
            <w:tcW w:type="dxa" w:w="936"/>
          </w:tcPr>
          <w:p>
            <w:pPr>
              <w:spacing w:before="20" w:after="20" w:line="254" w:lineRule="auto"/>
            </w:pPr>
          </w:p>
        </w:tc>
        <w:tc>
          <w:tcPr>
            <w:tcW w:type="dxa" w:w="1030"/>
          </w:tcPr>
          <w:p>
            <w:pPr>
              <w:spacing w:before="20" w:after="20" w:line="254" w:lineRule="auto"/>
            </w:pPr>
          </w:p>
        </w:tc>
        <w:tc>
          <w:tcPr>
            <w:tcW w:type="dxa" w:w="1123"/>
          </w:tcPr>
          <w:p>
            <w:pPr>
              <w:spacing w:before="20" w:after="20" w:line="254" w:lineRule="auto"/>
            </w:pPr>
          </w:p>
        </w:tc>
        <w:tc>
          <w:tcPr>
            <w:tcW w:type="dxa" w:w="1404"/>
          </w:tcPr>
          <w:p>
            <w:pPr>
              <w:spacing w:before="20" w:after="20" w:line="254" w:lineRule="auto"/>
            </w:pPr>
          </w:p>
        </w:tc>
        <w:tc>
          <w:tcPr>
            <w:tcW w:type="dxa" w:w="1123"/>
          </w:tcPr>
          <w:p>
            <w:pPr>
              <w:spacing w:before="20" w:after="20" w:line="254" w:lineRule="auto"/>
            </w:pPr>
          </w:p>
        </w:tc>
        <w:tc>
          <w:tcPr>
            <w:tcW w:type="dxa" w:w="842"/>
          </w:tcPr>
          <w:p>
            <w:pPr>
              <w:spacing w:before="20" w:after="20" w:line="254" w:lineRule="auto"/>
            </w:pPr>
          </w:p>
        </w:tc>
      </w:tr>
      <w:tr>
        <w:tc>
          <w:tcPr>
            <w:tcW w:type="dxa" w:w="1217"/>
          </w:tcPr>
          <w:p>
            <w:pPr>
              <w:spacing w:before="20" w:after="20" w:line="254" w:lineRule="auto"/>
            </w:pPr>
          </w:p>
        </w:tc>
        <w:tc>
          <w:tcPr>
            <w:tcW w:type="dxa" w:w="1685"/>
          </w:tcPr>
          <w:p>
            <w:pPr>
              <w:spacing w:before="20" w:after="20" w:line="254" w:lineRule="auto"/>
            </w:pPr>
          </w:p>
        </w:tc>
        <w:tc>
          <w:tcPr>
            <w:tcW w:type="dxa" w:w="936"/>
          </w:tcPr>
          <w:p>
            <w:pPr>
              <w:spacing w:before="20" w:after="20" w:line="254" w:lineRule="auto"/>
            </w:pPr>
          </w:p>
        </w:tc>
        <w:tc>
          <w:tcPr>
            <w:tcW w:type="dxa" w:w="1030"/>
          </w:tcPr>
          <w:p>
            <w:pPr>
              <w:spacing w:before="20" w:after="20" w:line="254" w:lineRule="auto"/>
            </w:pPr>
          </w:p>
        </w:tc>
        <w:tc>
          <w:tcPr>
            <w:tcW w:type="dxa" w:w="1123"/>
          </w:tcPr>
          <w:p>
            <w:pPr>
              <w:spacing w:before="20" w:after="20" w:line="254" w:lineRule="auto"/>
            </w:pPr>
          </w:p>
        </w:tc>
        <w:tc>
          <w:tcPr>
            <w:tcW w:type="dxa" w:w="1404"/>
          </w:tcPr>
          <w:p>
            <w:pPr>
              <w:spacing w:before="20" w:after="20" w:line="254" w:lineRule="auto"/>
            </w:pPr>
          </w:p>
        </w:tc>
        <w:tc>
          <w:tcPr>
            <w:tcW w:type="dxa" w:w="1123"/>
          </w:tcPr>
          <w:p>
            <w:pPr>
              <w:spacing w:before="20" w:after="20" w:line="254" w:lineRule="auto"/>
            </w:pPr>
          </w:p>
        </w:tc>
        <w:tc>
          <w:tcPr>
            <w:tcW w:type="dxa" w:w="842"/>
          </w:tcPr>
          <w:p>
            <w:pPr>
              <w:spacing w:before="20" w:after="20" w:line="254" w:lineRule="auto"/>
            </w:pPr>
          </w:p>
        </w:tc>
      </w:tr>
      <w:tr>
        <w:tc>
          <w:tcPr>
            <w:tcW w:type="dxa" w:w="1217"/>
          </w:tcPr>
          <w:p>
            <w:pPr>
              <w:spacing w:before="20" w:after="20" w:line="254" w:lineRule="auto"/>
            </w:pPr>
          </w:p>
        </w:tc>
        <w:tc>
          <w:tcPr>
            <w:tcW w:type="dxa" w:w="1685"/>
          </w:tcPr>
          <w:p>
            <w:pPr>
              <w:spacing w:before="20" w:after="20" w:line="254" w:lineRule="auto"/>
            </w:pPr>
          </w:p>
        </w:tc>
        <w:tc>
          <w:tcPr>
            <w:tcW w:type="dxa" w:w="936"/>
          </w:tcPr>
          <w:p>
            <w:pPr>
              <w:spacing w:before="20" w:after="20" w:line="254" w:lineRule="auto"/>
            </w:pPr>
          </w:p>
        </w:tc>
        <w:tc>
          <w:tcPr>
            <w:tcW w:type="dxa" w:w="1030"/>
          </w:tcPr>
          <w:p>
            <w:pPr>
              <w:spacing w:before="20" w:after="20" w:line="254" w:lineRule="auto"/>
            </w:pPr>
          </w:p>
        </w:tc>
        <w:tc>
          <w:tcPr>
            <w:tcW w:type="dxa" w:w="1123"/>
          </w:tcPr>
          <w:p>
            <w:pPr>
              <w:spacing w:before="20" w:after="20" w:line="254" w:lineRule="auto"/>
            </w:pPr>
          </w:p>
        </w:tc>
        <w:tc>
          <w:tcPr>
            <w:tcW w:type="dxa" w:w="1404"/>
          </w:tcPr>
          <w:p>
            <w:pPr>
              <w:spacing w:before="20" w:after="20" w:line="254" w:lineRule="auto"/>
            </w:pPr>
          </w:p>
        </w:tc>
        <w:tc>
          <w:tcPr>
            <w:tcW w:type="dxa" w:w="1123"/>
          </w:tcPr>
          <w:p>
            <w:pPr>
              <w:spacing w:before="20" w:after="20" w:line="254" w:lineRule="auto"/>
            </w:pPr>
          </w:p>
        </w:tc>
        <w:tc>
          <w:tcPr>
            <w:tcW w:type="dxa" w:w="842"/>
          </w:tcPr>
          <w:p>
            <w:pPr>
              <w:spacing w:before="20" w:after="20" w:line="254" w:lineRule="auto"/>
            </w:pPr>
          </w:p>
        </w:tc>
      </w:tr>
      <w:tr>
        <w:tc>
          <w:tcPr>
            <w:tcW w:type="dxa" w:w="1217"/>
          </w:tcPr>
          <w:p>
            <w:pPr>
              <w:spacing w:before="20" w:after="20" w:line="254" w:lineRule="auto"/>
            </w:pPr>
          </w:p>
        </w:tc>
        <w:tc>
          <w:tcPr>
            <w:tcW w:type="dxa" w:w="1685"/>
          </w:tcPr>
          <w:p>
            <w:pPr>
              <w:spacing w:before="20" w:after="20" w:line="254" w:lineRule="auto"/>
            </w:pPr>
          </w:p>
        </w:tc>
        <w:tc>
          <w:tcPr>
            <w:tcW w:type="dxa" w:w="936"/>
          </w:tcPr>
          <w:p>
            <w:pPr>
              <w:spacing w:before="20" w:after="20" w:line="254" w:lineRule="auto"/>
            </w:pPr>
          </w:p>
        </w:tc>
        <w:tc>
          <w:tcPr>
            <w:tcW w:type="dxa" w:w="1030"/>
          </w:tcPr>
          <w:p>
            <w:pPr>
              <w:spacing w:before="20" w:after="20" w:line="254" w:lineRule="auto"/>
            </w:pPr>
          </w:p>
        </w:tc>
        <w:tc>
          <w:tcPr>
            <w:tcW w:type="dxa" w:w="1123"/>
          </w:tcPr>
          <w:p>
            <w:pPr>
              <w:spacing w:before="20" w:after="20" w:line="254" w:lineRule="auto"/>
            </w:pPr>
          </w:p>
        </w:tc>
        <w:tc>
          <w:tcPr>
            <w:tcW w:type="dxa" w:w="1404"/>
          </w:tcPr>
          <w:p>
            <w:pPr>
              <w:spacing w:before="20" w:after="20" w:line="254" w:lineRule="auto"/>
            </w:pPr>
          </w:p>
        </w:tc>
        <w:tc>
          <w:tcPr>
            <w:tcW w:type="dxa" w:w="1123"/>
          </w:tcPr>
          <w:p>
            <w:pPr>
              <w:spacing w:before="20" w:after="20" w:line="254" w:lineRule="auto"/>
            </w:pPr>
          </w:p>
        </w:tc>
        <w:tc>
          <w:tcPr>
            <w:tcW w:type="dxa" w:w="842"/>
          </w:tcPr>
          <w:p>
            <w:pPr>
              <w:spacing w:before="20" w:after="20" w:line="254" w:lineRule="auto"/>
            </w:pPr>
          </w:p>
        </w:tc>
      </w:tr>
    </w:tbl>
    <w:p>
      <w:pPr>
        <w:spacing w:after="40"/>
      </w:pPr>
    </w:p>
    <w:p>
      <w:pPr>
        <w:pStyle w:val="Prompt"/>
      </w:pPr>
      <w:r>
        <w:t>“Not estimable, because no denominator exists for spontaneous reports” is a legitimate and common entry. It is far better than a reporting rate presented as an incidence.</w:t>
      </w:r>
    </w:p>
    <w:p>
      <w:pPr>
        <w:pStyle w:val="Heading1"/>
      </w:pPr>
      <w:r>
        <w:t>4. Clinical context</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Severity of the treated disease</w:t>
            </w:r>
          </w:p>
        </w:tc>
        <w:tc>
          <w:tcPr>
            <w:tcW w:type="dxa" w:w="3744"/>
          </w:tcPr>
          <w:p>
            <w:pPr>
              <w:spacing w:before="20" w:after="20" w:line="254" w:lineRule="auto"/>
            </w:pPr>
            <w:r>
              <w:rPr>
                <w:rFonts w:ascii="Carlito" w:hAnsi="Carlito"/>
                <w:b w:val="0"/>
                <w:i w:val="0"/>
                <w:sz w:val="19"/>
              </w:rPr>
              <w:t>What happens to patients who are not treated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Unmet need</w:t>
            </w:r>
          </w:p>
        </w:tc>
        <w:tc>
          <w:tcPr>
            <w:tcW w:type="dxa" w:w="3744"/>
          </w:tcPr>
          <w:p>
            <w:pPr>
              <w:spacing w:before="20" w:after="20" w:line="254" w:lineRule="auto"/>
            </w:pPr>
            <w:r>
              <w:rPr>
                <w:rFonts w:ascii="Carlito" w:hAnsi="Carlito"/>
                <w:b w:val="0"/>
                <w:i w:val="0"/>
                <w:sz w:val="19"/>
              </w:rPr>
              <w:t>Whether effective alternatives exist at all</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Alternatives, and who is eligible for them</w:t>
            </w:r>
          </w:p>
        </w:tc>
        <w:tc>
          <w:tcPr>
            <w:tcW w:type="dxa" w:w="3744"/>
          </w:tcPr>
          <w:p>
            <w:pPr>
              <w:spacing w:before="20" w:after="20" w:line="254" w:lineRule="auto"/>
            </w:pPr>
            <w:r>
              <w:rPr>
                <w:rFonts w:ascii="Carlito" w:hAnsi="Carlito"/>
                <w:b w:val="0"/>
                <w:i w:val="0"/>
                <w:sz w:val="19"/>
              </w:rPr>
              <w:t>Named alternatives, and the proportion of the treated population who could actually switch</w:t>
            </w:r>
          </w:p>
          <w:p>
            <w:pPr>
              <w:spacing w:before="20" w:after="20" w:line="254" w:lineRule="auto"/>
            </w:pPr>
            <w:r>
              <w:rPr>
                <w:rFonts w:ascii="Carlito" w:hAnsi="Carlito"/>
                <w:b w:val="0"/>
                <w:i/>
                <w:color w:val="4A5B63"/>
                <w:sz w:val="17"/>
              </w:rPr>
              <w:t>The second half is the part that changes decisions. An alternative that half the population cannot take is not an alternative for them.</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Treatment setting</w:t>
            </w:r>
          </w:p>
        </w:tc>
        <w:tc>
          <w:tcPr>
            <w:tcW w:type="dxa" w:w="3744"/>
          </w:tcPr>
          <w:p>
            <w:pPr>
              <w:spacing w:before="20" w:after="20" w:line="254" w:lineRule="auto"/>
            </w:pPr>
            <w:r>
              <w:rPr>
                <w:rFonts w:ascii="Carlito" w:hAnsi="Carlito"/>
                <w:b w:val="0"/>
                <w:i w:val="0"/>
                <w:sz w:val="19"/>
              </w:rPr>
              <w:t>Where the product is used and who supervises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Monitoring feasibility</w:t>
            </w:r>
          </w:p>
        </w:tc>
        <w:tc>
          <w:tcPr>
            <w:tcW w:type="dxa" w:w="3744"/>
          </w:tcPr>
          <w:p>
            <w:pPr>
              <w:spacing w:before="20" w:after="20" w:line="254" w:lineRule="auto"/>
            </w:pPr>
            <w:r>
              <w:rPr>
                <w:rFonts w:ascii="Carlito" w:hAnsi="Carlito"/>
                <w:b w:val="0"/>
                <w:i w:val="0"/>
                <w:sz w:val="19"/>
              </w:rPr>
              <w:t>Whether the proposed monitoring can be delivered in that setting</w:t>
            </w:r>
          </w:p>
          <w:p>
            <w:pPr>
              <w:spacing w:before="20" w:after="20" w:line="254" w:lineRule="auto"/>
            </w:pPr>
            <w:r>
              <w:rPr>
                <w:rFonts w:ascii="Carlito" w:hAnsi="Carlito"/>
                <w:b w:val="0"/>
                <w:i/>
                <w:color w:val="4A5B63"/>
                <w:sz w:val="17"/>
              </w:rPr>
              <w:t>A monitoring schedule that cannot be delivered is a risk-minimization measure on paper only.</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Patient preference evidence, or the assumption made</w:t>
            </w:r>
          </w:p>
        </w:tc>
        <w:tc>
          <w:tcPr>
            <w:tcW w:type="dxa" w:w="3744"/>
          </w:tcPr>
          <w:p>
            <w:pPr>
              <w:spacing w:before="20" w:after="20" w:line="254" w:lineRule="auto"/>
            </w:pPr>
            <w:r>
              <w:rPr>
                <w:rFonts w:ascii="Carlito" w:hAnsi="Carlito"/>
                <w:b w:val="0"/>
                <w:i w:val="0"/>
                <w:sz w:val="19"/>
              </w:rPr>
              <w:t>Evidence where it exists; otherwise the assumption, stated as an assumption</w:t>
            </w:r>
          </w:p>
          <w:p>
            <w:pPr>
              <w:spacing w:before="20" w:after="20" w:line="254" w:lineRule="auto"/>
            </w:pPr>
            <w:r>
              <w:rPr>
                <w:rFonts w:ascii="Carlito" w:hAnsi="Carlito"/>
                <w:b w:val="0"/>
                <w:i/>
                <w:color w:val="4A5B63"/>
                <w:sz w:val="17"/>
              </w:rPr>
              <w:t>Where no preference evidence exists, say so. An unstated assumption about what patients would accept is still an assumption.</w:t>
            </w:r>
          </w:p>
        </w:tc>
        <w:tc>
          <w:tcPr>
            <w:tcW w:type="dxa" w:w="3557"/>
          </w:tcPr>
          <w:p>
            <w:pPr>
              <w:spacing w:before="20" w:after="20" w:line="254" w:lineRule="auto"/>
            </w:pPr>
          </w:p>
        </w:tc>
      </w:tr>
    </w:tbl>
    <w:p>
      <w:pPr>
        <w:spacing w:after="40"/>
      </w:pPr>
    </w:p>
    <w:p>
      <w:pPr>
        <w:pStyle w:val="Heading1"/>
      </w:pPr>
      <w:r>
        <w:t>5. Subgroup and conditions of use</w:t>
      </w:r>
    </w:p>
    <w:tbl>
      <w:tblPr>
        <w:tblStyle w:val="ToolkitTable"/>
        <w:tblW w:type="auto" w:w="0"/>
        <w:jc w:val="left"/>
        <w:tblLayout w:type="fixed"/>
        <w:tblLook w:val="04A0" w:firstRow="1" w:lastRow="0" w:firstColumn="0" w:lastColumn="0" w:noHBand="0" w:noVBand="1"/>
      </w:tblPr>
      <w:tblGrid>
        <w:gridCol w:w="2434"/>
        <w:gridCol w:w="1498"/>
        <w:gridCol w:w="2059"/>
        <w:gridCol w:w="2059"/>
        <w:gridCol w:w="1310"/>
      </w:tblGrid>
      <w:tr>
        <w:trPr>
          <w:tblHeader/>
        </w:trPr>
        <w:tc>
          <w:tcPr>
            <w:tcW w:type="dxa" w:w="2434"/>
          </w:tcPr>
          <w:p>
            <w:pPr>
              <w:spacing w:before="20" w:after="20" w:line="254" w:lineRule="auto"/>
            </w:pPr>
            <w:r>
              <w:rPr>
                <w:rFonts w:ascii="Carlito" w:hAnsi="Carlito"/>
                <w:b/>
                <w:i w:val="0"/>
                <w:color w:val="FFFFFF"/>
                <w:sz w:val="19"/>
              </w:rPr>
              <w:t>Candidate subgroup or restriction</w:t>
            </w:r>
          </w:p>
        </w:tc>
        <w:tc>
          <w:tcPr>
            <w:tcW w:type="dxa" w:w="1498"/>
          </w:tcPr>
          <w:p>
            <w:pPr>
              <w:spacing w:before="20" w:after="20" w:line="254" w:lineRule="auto"/>
            </w:pPr>
            <w:r>
              <w:rPr>
                <w:rFonts w:ascii="Carlito" w:hAnsi="Carlito"/>
                <w:b/>
                <w:i w:val="0"/>
                <w:color w:val="FFFFFF"/>
                <w:sz w:val="19"/>
              </w:rPr>
              <w:t>Identifiable before exposure?</w:t>
            </w:r>
          </w:p>
        </w:tc>
        <w:tc>
          <w:tcPr>
            <w:tcW w:type="dxa" w:w="2059"/>
          </w:tcPr>
          <w:p>
            <w:pPr>
              <w:spacing w:before="20" w:after="20" w:line="254" w:lineRule="auto"/>
            </w:pPr>
            <w:r>
              <w:rPr>
                <w:rFonts w:ascii="Carlito" w:hAnsi="Carlito"/>
                <w:b/>
                <w:i w:val="0"/>
                <w:color w:val="FFFFFF"/>
                <w:sz w:val="19"/>
              </w:rPr>
              <w:t>Benefit forgone by the restriction</w:t>
            </w:r>
          </w:p>
        </w:tc>
        <w:tc>
          <w:tcPr>
            <w:tcW w:type="dxa" w:w="2059"/>
          </w:tcPr>
          <w:p>
            <w:pPr>
              <w:spacing w:before="20" w:after="20" w:line="254" w:lineRule="auto"/>
            </w:pPr>
            <w:r>
              <w:rPr>
                <w:rFonts w:ascii="Carlito" w:hAnsi="Carlito"/>
                <w:b/>
                <w:i w:val="0"/>
                <w:color w:val="FFFFFF"/>
                <w:sz w:val="19"/>
              </w:rPr>
              <w:t>Harm removed by the restriction</w:t>
            </w:r>
          </w:p>
        </w:tc>
        <w:tc>
          <w:tcPr>
            <w:tcW w:type="dxa" w:w="1310"/>
          </w:tcPr>
          <w:p>
            <w:pPr>
              <w:spacing w:before="20" w:after="20" w:line="254" w:lineRule="auto"/>
            </w:pPr>
            <w:r>
              <w:rPr>
                <w:rFonts w:ascii="Carlito" w:hAnsi="Carlito"/>
                <w:b/>
                <w:i w:val="0"/>
                <w:color w:val="FFFFFF"/>
                <w:sz w:val="19"/>
              </w:rPr>
              <w:t>Feasible in practice?</w:t>
            </w:r>
          </w:p>
        </w:tc>
      </w:tr>
      <w:tr>
        <w:tc>
          <w:tcPr>
            <w:tcW w:type="dxa" w:w="2434"/>
          </w:tcPr>
          <w:p>
            <w:pPr>
              <w:spacing w:before="20" w:after="20" w:line="254" w:lineRule="auto"/>
            </w:pPr>
          </w:p>
        </w:tc>
        <w:tc>
          <w:tcPr>
            <w:tcW w:type="dxa" w:w="1498"/>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1310"/>
          </w:tcPr>
          <w:p>
            <w:pPr>
              <w:spacing w:before="20" w:after="20" w:line="254" w:lineRule="auto"/>
            </w:pPr>
          </w:p>
        </w:tc>
      </w:tr>
      <w:tr>
        <w:tc>
          <w:tcPr>
            <w:tcW w:type="dxa" w:w="2434"/>
          </w:tcPr>
          <w:p>
            <w:pPr>
              <w:spacing w:before="20" w:after="20" w:line="254" w:lineRule="auto"/>
            </w:pPr>
          </w:p>
        </w:tc>
        <w:tc>
          <w:tcPr>
            <w:tcW w:type="dxa" w:w="1498"/>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1310"/>
          </w:tcPr>
          <w:p>
            <w:pPr>
              <w:spacing w:before="20" w:after="20" w:line="254" w:lineRule="auto"/>
            </w:pPr>
          </w:p>
        </w:tc>
      </w:tr>
      <w:tr>
        <w:tc>
          <w:tcPr>
            <w:tcW w:type="dxa" w:w="2434"/>
          </w:tcPr>
          <w:p>
            <w:pPr>
              <w:spacing w:before="20" w:after="20" w:line="254" w:lineRule="auto"/>
            </w:pPr>
          </w:p>
        </w:tc>
        <w:tc>
          <w:tcPr>
            <w:tcW w:type="dxa" w:w="1498"/>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1310"/>
          </w:tcPr>
          <w:p>
            <w:pPr>
              <w:spacing w:before="20" w:after="20" w:line="254" w:lineRule="auto"/>
            </w:pPr>
          </w:p>
        </w:tc>
      </w:tr>
      <w:tr>
        <w:tc>
          <w:tcPr>
            <w:tcW w:type="dxa" w:w="2434"/>
          </w:tcPr>
          <w:p>
            <w:pPr>
              <w:spacing w:before="20" w:after="20" w:line="254" w:lineRule="auto"/>
            </w:pPr>
          </w:p>
        </w:tc>
        <w:tc>
          <w:tcPr>
            <w:tcW w:type="dxa" w:w="1498"/>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1310"/>
          </w:tcPr>
          <w:p>
            <w:pPr>
              <w:spacing w:before="20" w:after="20" w:line="254" w:lineRule="auto"/>
            </w:pPr>
          </w:p>
        </w:tc>
      </w:tr>
    </w:tbl>
    <w:p>
      <w:pPr>
        <w:spacing w:after="40"/>
      </w:pPr>
    </w:p>
    <w:p>
      <w:pPr>
        <w:pStyle w:val="Prompt"/>
      </w:pPr>
      <w:r>
        <w:t>The second column decides most of these. A subgroup that can only be identified after the event has occurred cannot be the basis of a contraindication.</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Dose or combination effects</w:t>
            </w:r>
          </w:p>
        </w:tc>
        <w:tc>
          <w:tcPr>
            <w:tcW w:type="dxa" w:w="3744"/>
          </w:tcPr>
          <w:p>
            <w:pPr>
              <w:spacing w:before="20" w:after="20" w:line="254" w:lineRule="auto"/>
            </w:pPr>
            <w:r>
              <w:rPr>
                <w:rFonts w:ascii="Carlito" w:hAnsi="Carlito"/>
                <w:b w:val="0"/>
                <w:i w:val="0"/>
                <w:sz w:val="19"/>
              </w:rPr>
              <w:t>Whether the risk concentrates at a dose, an escalation step, or a specific combination</w:t>
            </w:r>
          </w:p>
        </w:tc>
        <w:tc>
          <w:tcPr>
            <w:tcW w:type="dxa" w:w="3557"/>
          </w:tcPr>
          <w:p>
            <w:pPr>
              <w:spacing w:before="20" w:after="20" w:line="254" w:lineRule="auto"/>
            </w:pPr>
          </w:p>
        </w:tc>
      </w:tr>
    </w:tbl>
    <w:p>
      <w:pPr>
        <w:spacing w:after="40"/>
      </w:pPr>
    </w:p>
    <w:p>
      <w:pPr>
        <w:pStyle w:val="Heading1"/>
      </w:pPr>
      <w:r>
        <w:t>6. Quantitative appendix (optional)</w:t>
      </w:r>
    </w:p>
    <w:p>
      <w:pPr>
        <w:pStyle w:val="SubtleNote"/>
      </w:pPr>
      <w:r>
        <w:t>Complete only where absolute estimates exist on both sides. Leave empty otherwise.</w:t>
      </w:r>
    </w:p>
    <w:tbl>
      <w:tblPr>
        <w:tblStyle w:val="ToolkitTable"/>
        <w:tblW w:type="auto" w:w="0"/>
        <w:jc w:val="left"/>
        <w:tblLayout w:type="fixed"/>
        <w:tblLook w:val="04A0" w:firstRow="1" w:lastRow="0" w:firstColumn="0" w:lastColumn="0" w:noHBand="0" w:noVBand="1"/>
      </w:tblPr>
      <w:tblGrid>
        <w:gridCol w:w="2621"/>
        <w:gridCol w:w="1310"/>
        <w:gridCol w:w="3557"/>
        <w:gridCol w:w="1872"/>
      </w:tblGrid>
      <w:tr>
        <w:trPr>
          <w:tblHeader/>
        </w:trPr>
        <w:tc>
          <w:tcPr>
            <w:tcW w:type="dxa" w:w="2621"/>
          </w:tcPr>
          <w:p>
            <w:pPr>
              <w:spacing w:before="20" w:after="20" w:line="254" w:lineRule="auto"/>
            </w:pPr>
            <w:r>
              <w:rPr>
                <w:rFonts w:ascii="Carlito" w:hAnsi="Carlito"/>
                <w:b/>
                <w:i w:val="0"/>
                <w:color w:val="FFFFFF"/>
                <w:sz w:val="19"/>
              </w:rPr>
              <w:t>Quantity</w:t>
            </w:r>
          </w:p>
        </w:tc>
        <w:tc>
          <w:tcPr>
            <w:tcW w:type="dxa" w:w="1310"/>
          </w:tcPr>
          <w:p>
            <w:pPr>
              <w:spacing w:before="20" w:after="20" w:line="254" w:lineRule="auto"/>
            </w:pPr>
            <w:r>
              <w:rPr>
                <w:rFonts w:ascii="Carlito" w:hAnsi="Carlito"/>
                <w:b/>
                <w:i w:val="0"/>
                <w:color w:val="FFFFFF"/>
                <w:sz w:val="19"/>
              </w:rPr>
              <w:t>Value</w:t>
            </w:r>
          </w:p>
        </w:tc>
        <w:tc>
          <w:tcPr>
            <w:tcW w:type="dxa" w:w="3557"/>
          </w:tcPr>
          <w:p>
            <w:pPr>
              <w:spacing w:before="20" w:after="20" w:line="254" w:lineRule="auto"/>
            </w:pPr>
            <w:r>
              <w:rPr>
                <w:rFonts w:ascii="Carlito" w:hAnsi="Carlito"/>
                <w:b/>
                <w:i w:val="0"/>
                <w:color w:val="FFFFFF"/>
                <w:sz w:val="19"/>
              </w:rPr>
              <w:t>Derivation shown</w:t>
            </w:r>
          </w:p>
        </w:tc>
        <w:tc>
          <w:tcPr>
            <w:tcW w:type="dxa" w:w="1872"/>
          </w:tcPr>
          <w:p>
            <w:pPr>
              <w:spacing w:before="20" w:after="20" w:line="254" w:lineRule="auto"/>
            </w:pPr>
            <w:r>
              <w:rPr>
                <w:rFonts w:ascii="Carlito" w:hAnsi="Carlito"/>
                <w:b/>
                <w:i w:val="0"/>
                <w:color w:val="FFFFFF"/>
                <w:sz w:val="19"/>
              </w:rPr>
              <w:t>Source</w:t>
            </w:r>
          </w:p>
        </w:tc>
      </w:tr>
      <w:tr>
        <w:tc>
          <w:tcPr>
            <w:tcW w:type="dxa" w:w="2621"/>
          </w:tcPr>
          <w:p>
            <w:pPr>
              <w:spacing w:before="20" w:after="20" w:line="254" w:lineRule="auto"/>
            </w:pPr>
            <w:r>
              <w:rPr>
                <w:rFonts w:ascii="Carlito" w:hAnsi="Carlito"/>
                <w:b w:val="0"/>
                <w:i w:val="0"/>
                <w:sz w:val="19"/>
              </w:rPr>
              <w:t>Benefit events prevented per 10,000 treated</w:t>
            </w:r>
          </w:p>
        </w:tc>
        <w:tc>
          <w:tcPr>
            <w:tcW w:type="dxa" w:w="1310"/>
          </w:tcPr>
          <w:p>
            <w:pPr>
              <w:spacing w:before="20" w:after="20" w:line="254" w:lineRule="auto"/>
            </w:pPr>
          </w:p>
        </w:tc>
        <w:tc>
          <w:tcPr>
            <w:tcW w:type="dxa" w:w="3557"/>
          </w:tcPr>
          <w:p>
            <w:pPr>
              <w:spacing w:before="20" w:after="20" w:line="254" w:lineRule="auto"/>
            </w:pPr>
          </w:p>
        </w:tc>
        <w:tc>
          <w:tcPr>
            <w:tcW w:type="dxa" w:w="1872"/>
          </w:tcPr>
          <w:p>
            <w:pPr>
              <w:spacing w:before="20" w:after="20" w:line="254" w:lineRule="auto"/>
            </w:pPr>
          </w:p>
        </w:tc>
      </w:tr>
      <w:tr>
        <w:tc>
          <w:tcPr>
            <w:tcW w:type="dxa" w:w="2621"/>
          </w:tcPr>
          <w:p>
            <w:pPr>
              <w:spacing w:before="20" w:after="20" w:line="254" w:lineRule="auto"/>
            </w:pPr>
            <w:r>
              <w:rPr>
                <w:rFonts w:ascii="Carlito" w:hAnsi="Carlito"/>
                <w:b w:val="0"/>
                <w:i w:val="0"/>
                <w:sz w:val="19"/>
              </w:rPr>
              <w:t>Harm events caused per 10,000 treated</w:t>
            </w:r>
          </w:p>
        </w:tc>
        <w:tc>
          <w:tcPr>
            <w:tcW w:type="dxa" w:w="1310"/>
          </w:tcPr>
          <w:p>
            <w:pPr>
              <w:spacing w:before="20" w:after="20" w:line="254" w:lineRule="auto"/>
            </w:pPr>
          </w:p>
        </w:tc>
        <w:tc>
          <w:tcPr>
            <w:tcW w:type="dxa" w:w="3557"/>
          </w:tcPr>
          <w:p>
            <w:pPr>
              <w:spacing w:before="20" w:after="20" w:line="254" w:lineRule="auto"/>
            </w:pPr>
          </w:p>
        </w:tc>
        <w:tc>
          <w:tcPr>
            <w:tcW w:type="dxa" w:w="1872"/>
          </w:tcPr>
          <w:p>
            <w:pPr>
              <w:spacing w:before="20" w:after="20" w:line="254" w:lineRule="auto"/>
            </w:pPr>
          </w:p>
        </w:tc>
      </w:tr>
      <w:tr>
        <w:tc>
          <w:tcPr>
            <w:tcW w:type="dxa" w:w="2621"/>
          </w:tcPr>
          <w:p>
            <w:pPr>
              <w:spacing w:before="20" w:after="20" w:line="254" w:lineRule="auto"/>
            </w:pPr>
            <w:r>
              <w:rPr>
                <w:rFonts w:ascii="Carlito" w:hAnsi="Carlito"/>
                <w:b w:val="0"/>
                <w:i w:val="0"/>
                <w:sz w:val="19"/>
              </w:rPr>
              <w:t>NNT</w:t>
            </w:r>
          </w:p>
        </w:tc>
        <w:tc>
          <w:tcPr>
            <w:tcW w:type="dxa" w:w="1310"/>
          </w:tcPr>
          <w:p>
            <w:pPr>
              <w:spacing w:before="20" w:after="20" w:line="254" w:lineRule="auto"/>
            </w:pPr>
          </w:p>
        </w:tc>
        <w:tc>
          <w:tcPr>
            <w:tcW w:type="dxa" w:w="3557"/>
          </w:tcPr>
          <w:p>
            <w:pPr>
              <w:spacing w:before="20" w:after="20" w:line="254" w:lineRule="auto"/>
            </w:pPr>
          </w:p>
          <w:p>
            <w:pPr>
              <w:spacing w:before="20" w:after="20" w:line="254" w:lineRule="auto"/>
            </w:pPr>
            <w:r>
              <w:rPr>
                <w:rFonts w:ascii="Carlito" w:hAnsi="Carlito"/>
                <w:b w:val="0"/>
                <w:i/>
                <w:color w:val="4A5B63"/>
                <w:sz w:val="17"/>
              </w:rPr>
              <w:t>Show the arithmetic, not the result alone.</w:t>
            </w:r>
          </w:p>
        </w:tc>
        <w:tc>
          <w:tcPr>
            <w:tcW w:type="dxa" w:w="1872"/>
          </w:tcPr>
          <w:p>
            <w:pPr>
              <w:spacing w:before="20" w:after="20" w:line="254" w:lineRule="auto"/>
            </w:pPr>
          </w:p>
        </w:tc>
      </w:tr>
      <w:tr>
        <w:tc>
          <w:tcPr>
            <w:tcW w:type="dxa" w:w="2621"/>
          </w:tcPr>
          <w:p>
            <w:pPr>
              <w:spacing w:before="20" w:after="20" w:line="254" w:lineRule="auto"/>
            </w:pPr>
            <w:r>
              <w:rPr>
                <w:rFonts w:ascii="Carlito" w:hAnsi="Carlito"/>
                <w:b w:val="0"/>
                <w:i w:val="0"/>
                <w:sz w:val="19"/>
              </w:rPr>
              <w:t>NNH</w:t>
            </w:r>
          </w:p>
        </w:tc>
        <w:tc>
          <w:tcPr>
            <w:tcW w:type="dxa" w:w="1310"/>
          </w:tcPr>
          <w:p>
            <w:pPr>
              <w:spacing w:before="20" w:after="20" w:line="254" w:lineRule="auto"/>
            </w:pPr>
          </w:p>
        </w:tc>
        <w:tc>
          <w:tcPr>
            <w:tcW w:type="dxa" w:w="3557"/>
          </w:tcPr>
          <w:p>
            <w:pPr>
              <w:spacing w:before="20" w:after="20" w:line="254" w:lineRule="auto"/>
            </w:pPr>
          </w:p>
        </w:tc>
        <w:tc>
          <w:tcPr>
            <w:tcW w:type="dxa" w:w="1872"/>
          </w:tcPr>
          <w:p>
            <w:pPr>
              <w:spacing w:before="20" w:after="20" w:line="254" w:lineRule="auto"/>
            </w:pPr>
          </w:p>
        </w:tc>
      </w:tr>
      <w:tr>
        <w:tc>
          <w:tcPr>
            <w:tcW w:type="dxa" w:w="2621"/>
          </w:tcPr>
          <w:p>
            <w:pPr>
              <w:spacing w:before="20" w:after="20" w:line="254" w:lineRule="auto"/>
            </w:pPr>
            <w:r>
              <w:rPr>
                <w:rFonts w:ascii="Carlito" w:hAnsi="Carlito"/>
                <w:b w:val="0"/>
                <w:i w:val="0"/>
                <w:sz w:val="19"/>
              </w:rPr>
              <w:t>Ratio of NNH to NNT</w:t>
            </w:r>
          </w:p>
        </w:tc>
        <w:tc>
          <w:tcPr>
            <w:tcW w:type="dxa" w:w="1310"/>
          </w:tcPr>
          <w:p>
            <w:pPr>
              <w:spacing w:before="20" w:after="20" w:line="254" w:lineRule="auto"/>
            </w:pPr>
          </w:p>
        </w:tc>
        <w:tc>
          <w:tcPr>
            <w:tcW w:type="dxa" w:w="3557"/>
          </w:tcPr>
          <w:p>
            <w:pPr>
              <w:spacing w:before="20" w:after="20" w:line="254" w:lineRule="auto"/>
            </w:pPr>
          </w:p>
          <w:p>
            <w:pPr>
              <w:spacing w:before="20" w:after="20" w:line="254" w:lineRule="auto"/>
            </w:pPr>
            <w:r>
              <w:rPr>
                <w:rFonts w:ascii="Carlito" w:hAnsi="Carlito"/>
                <w:b w:val="0"/>
                <w:i/>
                <w:color w:val="4A5B63"/>
                <w:sz w:val="17"/>
              </w:rPr>
              <w:t>The ratio does not settle the decision. Severity, reversibility and preventability are not in it.</w:t>
            </w:r>
          </w:p>
        </w:tc>
        <w:tc>
          <w:tcPr>
            <w:tcW w:type="dxa" w:w="1872"/>
          </w:tcPr>
          <w:p>
            <w:pPr>
              <w:spacing w:before="20" w:after="20" w:line="254" w:lineRule="auto"/>
            </w:pPr>
          </w:p>
        </w:tc>
      </w:tr>
    </w:tbl>
    <w:p>
      <w:pPr>
        <w:spacing w:after="40"/>
      </w:pPr>
    </w:p>
    <w:p>
      <w:pPr>
        <w:pStyle w:val="Heading2"/>
      </w:pPr>
      <w:r>
        <w:t>Sensitivity scenarios</w:t>
      </w:r>
    </w:p>
    <w:tbl>
      <w:tblPr>
        <w:tblStyle w:val="ToolkitTable"/>
        <w:tblW w:type="auto" w:w="0"/>
        <w:jc w:val="left"/>
        <w:tblLayout w:type="fixed"/>
        <w:tblLook w:val="04A0" w:firstRow="1" w:lastRow="0" w:firstColumn="0" w:lastColumn="0" w:noHBand="0" w:noVBand="1"/>
      </w:tblPr>
      <w:tblGrid>
        <w:gridCol w:w="2808"/>
        <w:gridCol w:w="2808"/>
        <w:gridCol w:w="3744"/>
      </w:tblGrid>
      <w:tr>
        <w:trPr>
          <w:tblHeader/>
        </w:trPr>
        <w:tc>
          <w:tcPr>
            <w:tcW w:type="dxa" w:w="2808"/>
          </w:tcPr>
          <w:p>
            <w:pPr>
              <w:spacing w:before="20" w:after="20" w:line="254" w:lineRule="auto"/>
            </w:pPr>
            <w:r>
              <w:rPr>
                <w:rFonts w:ascii="Carlito" w:hAnsi="Carlito"/>
                <w:b/>
                <w:i w:val="0"/>
                <w:color w:val="FFFFFF"/>
                <w:sz w:val="19"/>
              </w:rPr>
              <w:t>Scenario varied</w:t>
            </w:r>
          </w:p>
        </w:tc>
        <w:tc>
          <w:tcPr>
            <w:tcW w:type="dxa" w:w="2808"/>
          </w:tcPr>
          <w:p>
            <w:pPr>
              <w:spacing w:before="20" w:after="20" w:line="254" w:lineRule="auto"/>
            </w:pPr>
            <w:r>
              <w:rPr>
                <w:rFonts w:ascii="Carlito" w:hAnsi="Carlito"/>
                <w:b/>
                <w:i w:val="0"/>
                <w:color w:val="FFFFFF"/>
                <w:sz w:val="19"/>
              </w:rPr>
              <w:t>Assumption changed to</w:t>
            </w:r>
          </w:p>
        </w:tc>
        <w:tc>
          <w:tcPr>
            <w:tcW w:type="dxa" w:w="3744"/>
          </w:tcPr>
          <w:p>
            <w:pPr>
              <w:spacing w:before="20" w:after="20" w:line="254" w:lineRule="auto"/>
            </w:pPr>
            <w:r>
              <w:rPr>
                <w:rFonts w:ascii="Carlito" w:hAnsi="Carlito"/>
                <w:b/>
                <w:i w:val="0"/>
                <w:color w:val="FFFFFF"/>
                <w:sz w:val="19"/>
              </w:rPr>
              <w:t>Effect on the balance</w:t>
            </w:r>
          </w:p>
        </w:tc>
      </w:tr>
      <w:tr>
        <w:tc>
          <w:tcPr>
            <w:tcW w:type="dxa" w:w="2808"/>
          </w:tcPr>
          <w:p>
            <w:pPr>
              <w:spacing w:before="20" w:after="20" w:line="254" w:lineRule="auto"/>
            </w:pPr>
            <w:r>
              <w:rPr>
                <w:rFonts w:ascii="Carlito" w:hAnsi="Carlito"/>
                <w:b w:val="0"/>
                <w:i w:val="0"/>
                <w:sz w:val="19"/>
              </w:rPr>
              <w:t>Severity of the harm</w:t>
            </w:r>
          </w:p>
        </w:tc>
        <w:tc>
          <w:tcPr>
            <w:tcW w:type="dxa" w:w="2808"/>
          </w:tcPr>
          <w:p>
            <w:pPr>
              <w:spacing w:before="20" w:after="20" w:line="254" w:lineRule="auto"/>
            </w:pPr>
          </w:p>
        </w:tc>
        <w:tc>
          <w:tcPr>
            <w:tcW w:type="dxa" w:w="3744"/>
          </w:tcPr>
          <w:p>
            <w:pPr>
              <w:spacing w:before="20" w:after="20" w:line="254" w:lineRule="auto"/>
            </w:pPr>
          </w:p>
        </w:tc>
      </w:tr>
      <w:tr>
        <w:tc>
          <w:tcPr>
            <w:tcW w:type="dxa" w:w="2808"/>
          </w:tcPr>
          <w:p>
            <w:pPr>
              <w:spacing w:before="20" w:after="20" w:line="254" w:lineRule="auto"/>
            </w:pPr>
            <w:r>
              <w:rPr>
                <w:rFonts w:ascii="Carlito" w:hAnsi="Carlito"/>
                <w:b w:val="0"/>
                <w:i w:val="0"/>
                <w:sz w:val="19"/>
              </w:rPr>
              <w:t>Reversibility of the harm</w:t>
            </w:r>
          </w:p>
        </w:tc>
        <w:tc>
          <w:tcPr>
            <w:tcW w:type="dxa" w:w="2808"/>
          </w:tcPr>
          <w:p>
            <w:pPr>
              <w:spacing w:before="20" w:after="20" w:line="254" w:lineRule="auto"/>
            </w:pPr>
          </w:p>
        </w:tc>
        <w:tc>
          <w:tcPr>
            <w:tcW w:type="dxa" w:w="3744"/>
          </w:tcPr>
          <w:p>
            <w:pPr>
              <w:spacing w:before="20" w:after="20" w:line="254" w:lineRule="auto"/>
            </w:pPr>
          </w:p>
        </w:tc>
      </w:tr>
      <w:tr>
        <w:tc>
          <w:tcPr>
            <w:tcW w:type="dxa" w:w="2808"/>
          </w:tcPr>
          <w:p>
            <w:pPr>
              <w:spacing w:before="20" w:after="20" w:line="254" w:lineRule="auto"/>
            </w:pPr>
            <w:r>
              <w:rPr>
                <w:rFonts w:ascii="Carlito" w:hAnsi="Carlito"/>
                <w:b w:val="0"/>
                <w:i w:val="0"/>
                <w:sz w:val="19"/>
              </w:rPr>
              <w:t>Concentration of harm in a subgroup</w:t>
            </w:r>
          </w:p>
        </w:tc>
        <w:tc>
          <w:tcPr>
            <w:tcW w:type="dxa" w:w="2808"/>
          </w:tcPr>
          <w:p>
            <w:pPr>
              <w:spacing w:before="20" w:after="20" w:line="254" w:lineRule="auto"/>
            </w:pPr>
          </w:p>
        </w:tc>
        <w:tc>
          <w:tcPr>
            <w:tcW w:type="dxa" w:w="3744"/>
          </w:tcPr>
          <w:p>
            <w:pPr>
              <w:spacing w:before="20" w:after="20" w:line="254" w:lineRule="auto"/>
            </w:pPr>
          </w:p>
        </w:tc>
      </w:tr>
      <w:tr>
        <w:tc>
          <w:tcPr>
            <w:tcW w:type="dxa" w:w="2808"/>
          </w:tcPr>
          <w:p>
            <w:pPr>
              <w:spacing w:before="20" w:after="20" w:line="254" w:lineRule="auto"/>
            </w:pPr>
            <w:r>
              <w:rPr>
                <w:rFonts w:ascii="Carlito" w:hAnsi="Carlito"/>
                <w:b w:val="0"/>
                <w:i w:val="0"/>
                <w:sz w:val="19"/>
              </w:rPr>
              <w:t>Choice of comparator</w:t>
            </w:r>
          </w:p>
        </w:tc>
        <w:tc>
          <w:tcPr>
            <w:tcW w:type="dxa" w:w="2808"/>
          </w:tcPr>
          <w:p>
            <w:pPr>
              <w:spacing w:before="20" w:after="20" w:line="254" w:lineRule="auto"/>
            </w:pPr>
          </w:p>
        </w:tc>
        <w:tc>
          <w:tcPr>
            <w:tcW w:type="dxa" w:w="3744"/>
          </w:tcPr>
          <w:p>
            <w:pPr>
              <w:spacing w:before="20" w:after="20" w:line="254" w:lineRule="auto"/>
            </w:pPr>
          </w:p>
        </w:tc>
      </w:tr>
      <w:tr>
        <w:tc>
          <w:tcPr>
            <w:tcW w:type="dxa" w:w="2808"/>
          </w:tcPr>
          <w:p>
            <w:pPr>
              <w:spacing w:before="20" w:after="20" w:line="254" w:lineRule="auto"/>
            </w:pPr>
            <w:r>
              <w:rPr>
                <w:rFonts w:ascii="Carlito" w:hAnsi="Carlito"/>
                <w:b w:val="0"/>
                <w:i w:val="0"/>
                <w:sz w:val="19"/>
              </w:rPr>
              <w:t>Background rate or baseline risk</w:t>
            </w:r>
          </w:p>
        </w:tc>
        <w:tc>
          <w:tcPr>
            <w:tcW w:type="dxa" w:w="2808"/>
          </w:tcPr>
          <w:p>
            <w:pPr>
              <w:spacing w:before="20" w:after="20" w:line="254" w:lineRule="auto"/>
            </w:pPr>
          </w:p>
        </w:tc>
        <w:tc>
          <w:tcPr>
            <w:tcW w:type="dxa" w:w="3744"/>
          </w:tcPr>
          <w:p>
            <w:pPr>
              <w:spacing w:before="20" w:after="20" w:line="254" w:lineRule="auto"/>
            </w:pPr>
          </w:p>
        </w:tc>
      </w:tr>
    </w:tbl>
    <w:p>
      <w:pPr>
        <w:spacing w:after="40"/>
      </w:pPr>
    </w:p>
    <w:p>
      <w:pPr>
        <w:pStyle w:val="Prompt"/>
      </w:pPr>
      <w:r>
        <w:t>Worked illustration: among 10,000 treated patients, 400 serious disease outcomes prevented and 8 additional severe adverse events caused gives NNT 25 and NNH 1,250. Both figures illustrative. The point is that the ratio does not settle the decision.</w:t>
      </w:r>
    </w:p>
    <w:p>
      <w:pPr>
        <w:pStyle w:val="Heading1"/>
      </w:pPr>
      <w:r>
        <w:t>7. Conclusion and transparency</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Balance statement by population</w:t>
            </w:r>
          </w:p>
        </w:tc>
        <w:tc>
          <w:tcPr>
            <w:tcW w:type="dxa" w:w="3744"/>
          </w:tcPr>
          <w:p>
            <w:pPr>
              <w:spacing w:before="20" w:after="20" w:line="254" w:lineRule="auto"/>
            </w:pPr>
            <w:r>
              <w:rPr>
                <w:rFonts w:ascii="Carlito" w:hAnsi="Carlito"/>
                <w:b w:val="0"/>
                <w:i w:val="0"/>
                <w:sz w:val="19"/>
              </w:rPr>
              <w:t>The balance for the whole population and for each named subgroup separately</w:t>
            </w:r>
          </w:p>
          <w:p>
            <w:pPr>
              <w:spacing w:before="20" w:after="20" w:line="254" w:lineRule="auto"/>
            </w:pPr>
            <w:r>
              <w:rPr>
                <w:rFonts w:ascii="Carlito" w:hAnsi="Carlito"/>
                <w:b w:val="0"/>
                <w:i/>
                <w:color w:val="4A5B63"/>
                <w:sz w:val="17"/>
              </w:rPr>
              <w:t>Where the balance differs by subgroup, say so in the conclusion rather than in a footnote.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Value judgments made explicit</w:t>
            </w:r>
          </w:p>
        </w:tc>
        <w:tc>
          <w:tcPr>
            <w:tcW w:type="dxa" w:w="3744"/>
          </w:tcPr>
          <w:p>
            <w:pPr>
              <w:spacing w:before="20" w:after="20" w:line="254" w:lineRule="auto"/>
            </w:pPr>
            <w:r>
              <w:rPr>
                <w:rFonts w:ascii="Carlito" w:hAnsi="Carlito"/>
                <w:b w:val="0"/>
                <w:i w:val="0"/>
                <w:sz w:val="19"/>
              </w:rPr>
              <w:t>Every place where a judgment about acceptability, not a measurement, decided the answer</w:t>
            </w:r>
          </w:p>
          <w:p>
            <w:pPr>
              <w:spacing w:before="20" w:after="20" w:line="254" w:lineRule="auto"/>
            </w:pPr>
            <w:r>
              <w:rPr>
                <w:rFonts w:ascii="Carlito" w:hAnsi="Carlito"/>
                <w:b w:val="0"/>
                <w:i/>
                <w:color w:val="4A5B63"/>
                <w:sz w:val="17"/>
              </w:rPr>
              <w:t>Example: 'we treat an irreversible harm in 1 per 10,000 as outweighing a reversible harm in 1 per 1,000.' That is a value judgment and belongs in writing.</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Decisive uncertainties</w:t>
            </w:r>
          </w:p>
        </w:tc>
        <w:tc>
          <w:tcPr>
            <w:tcW w:type="dxa" w:w="3744"/>
          </w:tcPr>
          <w:p>
            <w:pPr>
              <w:spacing w:before="20" w:after="20" w:line="254" w:lineRule="auto"/>
            </w:pPr>
            <w:r>
              <w:rPr>
                <w:rFonts w:ascii="Carlito" w:hAnsi="Carlito"/>
                <w:b w:val="0"/>
                <w:i w:val="0"/>
                <w:sz w:val="19"/>
              </w:rPr>
              <w:t>The uncertainties that, if resolved differently, would change the conclusion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Evidence that would change the conclusion</w:t>
            </w:r>
          </w:p>
        </w:tc>
        <w:tc>
          <w:tcPr>
            <w:tcW w:type="dxa" w:w="3744"/>
          </w:tcPr>
          <w:p>
            <w:pPr>
              <w:spacing w:before="20" w:after="20" w:line="254" w:lineRule="auto"/>
            </w:pPr>
            <w:r>
              <w:rPr>
                <w:rFonts w:ascii="Carlito" w:hAnsi="Carlito"/>
                <w:b w:val="0"/>
                <w:i w:val="0"/>
                <w:sz w:val="19"/>
              </w:rPr>
              <w:t>Named, with the study or analysis that would produce it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Decision owner and date</w:t>
            </w:r>
          </w:p>
        </w:tc>
        <w:tc>
          <w:tcPr>
            <w:tcW w:type="dxa" w:w="3744"/>
          </w:tcPr>
          <w:p>
            <w:pPr>
              <w:spacing w:before="20" w:after="20" w:line="254" w:lineRule="auto"/>
            </w:pPr>
            <w:r>
              <w:rPr>
                <w:rFonts w:ascii="Carlito" w:hAnsi="Carlito"/>
                <w:b w:val="0"/>
                <w:i w:val="0"/>
                <w:sz w:val="19"/>
              </w:rPr>
              <w:t>The named individual who owns the conclusion, role, date</w:t>
            </w:r>
          </w:p>
        </w:tc>
        <w:tc>
          <w:tcPr>
            <w:tcW w:type="dxa" w:w="3557"/>
          </w:tcPr>
          <w:p>
            <w:pPr>
              <w:spacing w:before="20" w:after="20" w:line="254" w:lineRule="auto"/>
            </w:pPr>
          </w:p>
        </w:tc>
      </w:tr>
    </w:tbl>
    <w:p>
      <w:pPr>
        <w:spacing w:after="40"/>
      </w:pP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T-15 Benefit–Risk Assessment Worksheet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