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T-16 — Committee Charter, Agenda, Pre-read Cover Sheet, Minutes and Decision Log</w:t>
      </w:r>
    </w:p>
    <w:p>
      <w:pPr>
        <w:spacing w:after="20"/>
      </w:pPr>
      <w:r>
        <w:rPr>
          <w:rFonts w:ascii="Caladea" w:hAnsi="Caladea"/>
          <w:b/>
          <w:color w:val="1E2A32"/>
          <w:sz w:val="21"/>
        </w:rPr>
        <w:t>Signal Management in Pharmacovigilance</w:t>
      </w:r>
    </w:p>
    <w:p>
      <w:pPr>
        <w:spacing w:after="120"/>
      </w:pPr>
      <w:r>
        <w:rPr>
          <w:rFonts w:ascii="Carlito" w:hAnsi="Carlito"/>
          <w:color w:val="4A5B63"/>
          <w:sz w:val="19"/>
        </w:rPr>
        <w:t>Dr. Hafez Selim, MD, PhD  ·  Selim Medical Press</w:t>
      </w:r>
    </w:p>
    <w:p>
      <w:pPr>
        <w:spacing w:before="40" w:after="160"/>
        <w:pBdr>
          <w:bottom w:val="single" w:sz="12" w:space="1" w:color="1F5661"/>
        </w:pBdr>
      </w:pPr>
    </w:p>
    <w:p>
      <w:pPr>
        <w:spacing w:after="200"/>
      </w:pPr>
      <w:r>
        <w:rPr>
          <w:rFonts w:ascii="Carlito" w:hAnsi="Carlito"/>
          <w:b/>
          <w:color w:val="1F5661"/>
          <w:sz w:val="20"/>
        </w:rPr>
        <w:t xml:space="preserve">When to use this tool: </w:t>
      </w:r>
      <w:r>
        <w:rPr>
          <w:rFonts w:ascii="Carlito" w:hAnsi="Carlito"/>
          <w:color w:val="1E2A32"/>
          <w:sz w:val="20"/>
        </w:rPr>
        <w:t>Five linked instruments for a signal management committee. Use the charter once, the other four at every meeting.</w:t>
      </w:r>
    </w:p>
    <w:p>
      <w:r>
        <w:t>These are five instruments rather than one form because the failure modes occur at different points. The charter fixes decision rights before they are contested. The agenda allocates time against function, the only mechanism that reliably stops a forty-minute presentation. The pre-read cover sheet forces the question to exist in writing. The decision log carries decisions across meetings, so an action opened in July is still visible in November. The minutes template makes what the committee decided survive the people who decided it.</w:t>
      </w:r>
    </w:p>
    <w:p>
      <w:pPr>
        <w:pStyle w:val="Prompt"/>
      </w:pPr>
      <w:r>
        <w:t>Two design choices are worth preserving when you adapt these. The pre-read cover sheet has a decision options field separate from the recommendation field, because a committee presented with a single proposal tends to ratify it. And the decision log has a reopening trigger field even for closures, so that a closed signal carries the objective conditions that would return it to review.</w:t>
      </w:r>
    </w:p>
    <w:p>
      <w:pPr>
        <w:pStyle w:val="SubtleNote"/>
      </w:pPr>
      <w:r>
        <w:t>GVP Module IX Revision 1 requires that outcomes and their justification be documented. It does not prescribe a committee, a quorum, or an agenda. Everything beyond the duty to decide and to document is company design, and the procedure should say so.</w:t>
      </w:r>
    </w:p>
    <w:tbl>
      <w:tblPr>
        <w:tblStyle w:val="ToolkitTable"/>
        <w:tblW w:type="auto" w:w="0"/>
        <w:jc w:val="left"/>
        <w:tblLayout w:type="fixed"/>
        <w:tblLook w:val="04A0" w:firstRow="1" w:lastRow="0" w:firstColumn="0" w:lastColumn="0" w:noHBand="0" w:noVBand="1"/>
      </w:tblPr>
      <w:tblGrid>
        <w:gridCol w:w="2246"/>
        <w:gridCol w:w="2434"/>
        <w:gridCol w:w="4680"/>
      </w:tblGrid>
      <w:tr>
        <w:trPr>
          <w:tblHeader/>
        </w:trPr>
        <w:tc>
          <w:tcPr>
            <w:tcW w:type="dxa" w:w="2246"/>
          </w:tcPr>
          <w:p>
            <w:pPr>
              <w:spacing w:before="20" w:after="20" w:line="254" w:lineRule="auto"/>
            </w:pPr>
            <w:r>
              <w:rPr>
                <w:rFonts w:ascii="Carlito" w:hAnsi="Carlito"/>
                <w:b/>
                <w:i w:val="0"/>
                <w:color w:val="FFFFFF"/>
                <w:sz w:val="19"/>
              </w:rPr>
              <w:t>Instrument</w:t>
            </w:r>
          </w:p>
        </w:tc>
        <w:tc>
          <w:tcPr>
            <w:tcW w:type="dxa" w:w="2434"/>
          </w:tcPr>
          <w:p>
            <w:pPr>
              <w:spacing w:before="20" w:after="20" w:line="254" w:lineRule="auto"/>
            </w:pPr>
            <w:r>
              <w:rPr>
                <w:rFonts w:ascii="Carlito" w:hAnsi="Carlito"/>
                <w:b/>
                <w:i w:val="0"/>
                <w:color w:val="FFFFFF"/>
                <w:sz w:val="19"/>
              </w:rPr>
              <w:t>Used when</w:t>
            </w:r>
          </w:p>
        </w:tc>
        <w:tc>
          <w:tcPr>
            <w:tcW w:type="dxa" w:w="4680"/>
          </w:tcPr>
          <w:p>
            <w:pPr>
              <w:spacing w:before="20" w:after="20" w:line="254" w:lineRule="auto"/>
            </w:pPr>
            <w:r>
              <w:rPr>
                <w:rFonts w:ascii="Carlito" w:hAnsi="Carlito"/>
                <w:b/>
                <w:i w:val="0"/>
                <w:color w:val="FFFFFF"/>
                <w:sz w:val="19"/>
              </w:rPr>
              <w:t>Failure it prevents</w:t>
            </w:r>
          </w:p>
        </w:tc>
      </w:tr>
      <w:tr>
        <w:tc>
          <w:tcPr>
            <w:tcW w:type="dxa" w:w="2246"/>
          </w:tcPr>
          <w:p>
            <w:pPr>
              <w:spacing w:before="20" w:after="20" w:line="254" w:lineRule="auto"/>
            </w:pPr>
            <w:r>
              <w:rPr>
                <w:rFonts w:ascii="Carlito" w:hAnsi="Carlito"/>
                <w:b w:val="0"/>
                <w:i w:val="0"/>
                <w:sz w:val="19"/>
              </w:rPr>
              <w:t>1. Committee charter</w:t>
            </w:r>
          </w:p>
        </w:tc>
        <w:tc>
          <w:tcPr>
            <w:tcW w:type="dxa" w:w="2434"/>
          </w:tcPr>
          <w:p>
            <w:pPr>
              <w:spacing w:before="20" w:after="20" w:line="254" w:lineRule="auto"/>
            </w:pPr>
            <w:r>
              <w:rPr>
                <w:rFonts w:ascii="Carlito" w:hAnsi="Carlito"/>
                <w:b w:val="0"/>
                <w:i w:val="0"/>
                <w:sz w:val="19"/>
              </w:rPr>
              <w:t>Adopted once; reviewed annually</w:t>
            </w:r>
          </w:p>
        </w:tc>
        <w:tc>
          <w:tcPr>
            <w:tcW w:type="dxa" w:w="4680"/>
          </w:tcPr>
          <w:p>
            <w:pPr>
              <w:spacing w:before="20" w:after="20" w:line="254" w:lineRule="auto"/>
            </w:pPr>
            <w:r>
              <w:rPr>
                <w:rFonts w:ascii="Carlito" w:hAnsi="Carlito"/>
                <w:b w:val="0"/>
                <w:i w:val="0"/>
                <w:sz w:val="19"/>
              </w:rPr>
              <w:t>Decision rights argued over during a fatal cluster</w:t>
            </w:r>
          </w:p>
        </w:tc>
      </w:tr>
      <w:tr>
        <w:tc>
          <w:tcPr>
            <w:tcW w:type="dxa" w:w="2246"/>
          </w:tcPr>
          <w:p>
            <w:pPr>
              <w:spacing w:before="20" w:after="20" w:line="254" w:lineRule="auto"/>
            </w:pPr>
            <w:r>
              <w:rPr>
                <w:rFonts w:ascii="Carlito" w:hAnsi="Carlito"/>
                <w:b w:val="0"/>
                <w:i w:val="0"/>
                <w:sz w:val="19"/>
              </w:rPr>
              <w:t>2. Meeting agenda</w:t>
            </w:r>
          </w:p>
        </w:tc>
        <w:tc>
          <w:tcPr>
            <w:tcW w:type="dxa" w:w="2434"/>
          </w:tcPr>
          <w:p>
            <w:pPr>
              <w:spacing w:before="20" w:after="20" w:line="254" w:lineRule="auto"/>
            </w:pPr>
            <w:r>
              <w:rPr>
                <w:rFonts w:ascii="Carlito" w:hAnsi="Carlito"/>
                <w:b w:val="0"/>
                <w:i w:val="0"/>
                <w:sz w:val="19"/>
              </w:rPr>
              <w:t>Every meeting</w:t>
            </w:r>
          </w:p>
        </w:tc>
        <w:tc>
          <w:tcPr>
            <w:tcW w:type="dxa" w:w="4680"/>
          </w:tcPr>
          <w:p>
            <w:pPr>
              <w:spacing w:before="20" w:after="20" w:line="254" w:lineRule="auto"/>
            </w:pPr>
            <w:r>
              <w:rPr>
                <w:rFonts w:ascii="Carlito" w:hAnsi="Carlito"/>
                <w:b w:val="0"/>
                <w:i w:val="0"/>
                <w:sz w:val="19"/>
              </w:rPr>
              <w:t>A forty-minute presentation and no decision</w:t>
            </w:r>
          </w:p>
        </w:tc>
      </w:tr>
      <w:tr>
        <w:tc>
          <w:tcPr>
            <w:tcW w:type="dxa" w:w="2246"/>
          </w:tcPr>
          <w:p>
            <w:pPr>
              <w:spacing w:before="20" w:after="20" w:line="254" w:lineRule="auto"/>
            </w:pPr>
            <w:r>
              <w:rPr>
                <w:rFonts w:ascii="Carlito" w:hAnsi="Carlito"/>
                <w:b w:val="0"/>
                <w:i w:val="0"/>
                <w:sz w:val="19"/>
              </w:rPr>
              <w:t>3. Pre-read cover sheet</w:t>
            </w:r>
          </w:p>
        </w:tc>
        <w:tc>
          <w:tcPr>
            <w:tcW w:type="dxa" w:w="2434"/>
          </w:tcPr>
          <w:p>
            <w:pPr>
              <w:spacing w:before="20" w:after="20" w:line="254" w:lineRule="auto"/>
            </w:pPr>
            <w:r>
              <w:rPr>
                <w:rFonts w:ascii="Carlito" w:hAnsi="Carlito"/>
                <w:b w:val="0"/>
                <w:i w:val="0"/>
                <w:sz w:val="19"/>
              </w:rPr>
              <w:t>Every substantive item</w:t>
            </w:r>
          </w:p>
        </w:tc>
        <w:tc>
          <w:tcPr>
            <w:tcW w:type="dxa" w:w="4680"/>
          </w:tcPr>
          <w:p>
            <w:pPr>
              <w:spacing w:before="20" w:after="20" w:line="254" w:lineRule="auto"/>
            </w:pPr>
            <w:r>
              <w:rPr>
                <w:rFonts w:ascii="Carlito" w:hAnsi="Carlito"/>
                <w:b w:val="0"/>
                <w:i w:val="0"/>
                <w:sz w:val="19"/>
              </w:rPr>
              <w:t>A pack of 27 tables and no question</w:t>
            </w:r>
          </w:p>
        </w:tc>
      </w:tr>
      <w:tr>
        <w:tc>
          <w:tcPr>
            <w:tcW w:type="dxa" w:w="2246"/>
          </w:tcPr>
          <w:p>
            <w:pPr>
              <w:spacing w:before="20" w:after="20" w:line="254" w:lineRule="auto"/>
            </w:pPr>
            <w:r>
              <w:rPr>
                <w:rFonts w:ascii="Carlito" w:hAnsi="Carlito"/>
                <w:b w:val="0"/>
                <w:i w:val="0"/>
                <w:sz w:val="19"/>
              </w:rPr>
              <w:t>4. Minutes</w:t>
            </w:r>
          </w:p>
        </w:tc>
        <w:tc>
          <w:tcPr>
            <w:tcW w:type="dxa" w:w="2434"/>
          </w:tcPr>
          <w:p>
            <w:pPr>
              <w:spacing w:before="20" w:after="20" w:line="254" w:lineRule="auto"/>
            </w:pPr>
            <w:r>
              <w:rPr>
                <w:rFonts w:ascii="Carlito" w:hAnsi="Carlito"/>
                <w:b w:val="0"/>
                <w:i w:val="0"/>
                <w:sz w:val="19"/>
              </w:rPr>
              <w:t>Every meeting</w:t>
            </w:r>
          </w:p>
        </w:tc>
        <w:tc>
          <w:tcPr>
            <w:tcW w:type="dxa" w:w="4680"/>
          </w:tcPr>
          <w:p>
            <w:pPr>
              <w:spacing w:before="20" w:after="20" w:line="254" w:lineRule="auto"/>
            </w:pPr>
            <w:r>
              <w:rPr>
                <w:rFonts w:ascii="Carlito" w:hAnsi="Carlito"/>
                <w:b w:val="0"/>
                <w:i w:val="0"/>
                <w:sz w:val="19"/>
              </w:rPr>
              <w:t>A decision nobody can reconstruct two years later</w:t>
            </w:r>
          </w:p>
        </w:tc>
      </w:tr>
      <w:tr>
        <w:tc>
          <w:tcPr>
            <w:tcW w:type="dxa" w:w="2246"/>
          </w:tcPr>
          <w:p>
            <w:pPr>
              <w:spacing w:before="20" w:after="20" w:line="254" w:lineRule="auto"/>
            </w:pPr>
            <w:r>
              <w:rPr>
                <w:rFonts w:ascii="Carlito" w:hAnsi="Carlito"/>
                <w:b w:val="0"/>
                <w:i w:val="0"/>
                <w:sz w:val="19"/>
              </w:rPr>
              <w:t>5. Decision log</w:t>
            </w:r>
          </w:p>
        </w:tc>
        <w:tc>
          <w:tcPr>
            <w:tcW w:type="dxa" w:w="2434"/>
          </w:tcPr>
          <w:p>
            <w:pPr>
              <w:spacing w:before="20" w:after="20" w:line="254" w:lineRule="auto"/>
            </w:pPr>
            <w:r>
              <w:rPr>
                <w:rFonts w:ascii="Carlito" w:hAnsi="Carlito"/>
                <w:b w:val="0"/>
                <w:i w:val="0"/>
                <w:sz w:val="19"/>
              </w:rPr>
              <w:t>Maintained continuously</w:t>
            </w:r>
          </w:p>
        </w:tc>
        <w:tc>
          <w:tcPr>
            <w:tcW w:type="dxa" w:w="4680"/>
          </w:tcPr>
          <w:p>
            <w:pPr>
              <w:spacing w:before="20" w:after="20" w:line="254" w:lineRule="auto"/>
            </w:pPr>
            <w:r>
              <w:rPr>
                <w:rFonts w:ascii="Carlito" w:hAnsi="Carlito"/>
                <w:b w:val="0"/>
                <w:i w:val="0"/>
                <w:sz w:val="19"/>
              </w:rPr>
              <w:t>An action opened in July invisible in November</w:t>
            </w:r>
          </w:p>
        </w:tc>
      </w:tr>
    </w:tbl>
    <w:p>
      <w:pPr>
        <w:spacing w:after="40"/>
      </w:pPr>
    </w:p>
    <w:p>
      <w:r>
        <w:br w:type="page"/>
      </w:r>
    </w:p>
    <w:p>
      <w:pPr>
        <w:pStyle w:val="Heading1"/>
      </w:pPr>
      <w:r>
        <w:t>Instrument 1 — Committee charter, required provisions</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Purpose and scope</w:t>
            </w:r>
          </w:p>
        </w:tc>
        <w:tc>
          <w:tcPr>
            <w:tcW w:type="dxa" w:w="3744"/>
          </w:tcPr>
          <w:p>
            <w:pPr>
              <w:spacing w:before="20" w:after="20" w:line="254" w:lineRule="auto"/>
            </w:pPr>
            <w:r>
              <w:rPr>
                <w:rFonts w:ascii="Carlito" w:hAnsi="Carlito"/>
                <w:b w:val="0"/>
                <w:i w:val="0"/>
                <w:sz w:val="19"/>
              </w:rPr>
              <w:t>Products, regions and process steps within remit; what is explicitly outside remit</w:t>
            </w:r>
          </w:p>
          <w:p>
            <w:pPr>
              <w:spacing w:before="20" w:after="20" w:line="254" w:lineRule="auto"/>
            </w:pPr>
            <w:r>
              <w:rPr>
                <w:rFonts w:ascii="Carlito" w:hAnsi="Carlito"/>
                <w:b w:val="0"/>
                <w:i/>
                <w:color w:val="4A5B63"/>
                <w:sz w:val="17"/>
              </w:rPr>
              <w:t>The exclusions are the provisions that get tested. Write them.</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Deciding membership</w:t>
            </w:r>
          </w:p>
        </w:tc>
        <w:tc>
          <w:tcPr>
            <w:tcW w:type="dxa" w:w="3744"/>
          </w:tcPr>
          <w:p>
            <w:pPr>
              <w:spacing w:before="20" w:after="20" w:line="254" w:lineRule="auto"/>
            </w:pPr>
            <w:r>
              <w:rPr>
                <w:rFonts w:ascii="Carlito" w:hAnsi="Carlito"/>
                <w:b w:val="0"/>
                <w:i w:val="0"/>
                <w:sz w:val="19"/>
              </w:rPr>
              <w:t>Named roles with decision rights; whether deputies are permitted, by role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Contributing membership</w:t>
            </w:r>
          </w:p>
        </w:tc>
        <w:tc>
          <w:tcPr>
            <w:tcW w:type="dxa" w:w="3744"/>
          </w:tcPr>
          <w:p>
            <w:pPr>
              <w:spacing w:before="20" w:after="20" w:line="254" w:lineRule="auto"/>
            </w:pPr>
            <w:r>
              <w:rPr>
                <w:rFonts w:ascii="Carlito" w:hAnsi="Carlito"/>
                <w:b w:val="0"/>
                <w:i w:val="0"/>
                <w:sz w:val="19"/>
              </w:rPr>
              <w:t>Roles attending by standing invitation or by topic; no vote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Quorum</w:t>
            </w:r>
          </w:p>
        </w:tc>
        <w:tc>
          <w:tcPr>
            <w:tcW w:type="dxa" w:w="3744"/>
          </w:tcPr>
          <w:p>
            <w:pPr>
              <w:spacing w:before="20" w:after="20" w:line="254" w:lineRule="auto"/>
            </w:pPr>
            <w:r>
              <w:rPr>
                <w:rFonts w:ascii="Carlito" w:hAnsi="Carlito"/>
                <w:b w:val="0"/>
                <w:i w:val="0"/>
                <w:sz w:val="19"/>
              </w:rPr>
              <w:t>Roles that must be present; the effect of losing quorum mid-meeting</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Chair</w:t>
            </w:r>
          </w:p>
        </w:tc>
        <w:tc>
          <w:tcPr>
            <w:tcW w:type="dxa" w:w="3744"/>
          </w:tcPr>
          <w:p>
            <w:pPr>
              <w:spacing w:before="20" w:after="20" w:line="254" w:lineRule="auto"/>
            </w:pPr>
            <w:r>
              <w:rPr>
                <w:rFonts w:ascii="Carlito" w:hAnsi="Carlito"/>
                <w:b w:val="0"/>
                <w:i w:val="0"/>
                <w:sz w:val="19"/>
              </w:rPr>
              <w:t>Who chairs; the named deputy; the chair's duty to close each item with a decision or a dated deferral</w:t>
            </w:r>
          </w:p>
          <w:p>
            <w:pPr>
              <w:spacing w:before="20" w:after="20" w:line="254" w:lineRule="auto"/>
            </w:pPr>
            <w:r>
              <w:rPr>
                <w:rFonts w:ascii="Carlito" w:hAnsi="Carlito"/>
                <w:b w:val="0"/>
                <w:i/>
                <w:color w:val="4A5B63"/>
                <w:sz w:val="17"/>
              </w:rPr>
              <w:t>'Bring it back next month' without a date and an owner is not a deferral.</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Medical authority</w:t>
            </w:r>
          </w:p>
        </w:tc>
        <w:tc>
          <w:tcPr>
            <w:tcW w:type="dxa" w:w="3744"/>
          </w:tcPr>
          <w:p>
            <w:pPr>
              <w:spacing w:before="20" w:after="20" w:line="254" w:lineRule="auto"/>
            </w:pPr>
            <w:r>
              <w:rPr>
                <w:rFonts w:ascii="Carlito" w:hAnsi="Carlito"/>
                <w:b w:val="0"/>
                <w:i w:val="0"/>
                <w:sz w:val="19"/>
              </w:rPr>
              <w:t>The named physician holding the medical position; treatment of a decision contrary to that judgment</w:t>
            </w:r>
          </w:p>
          <w:p>
            <w:pPr>
              <w:spacing w:before="20" w:after="20" w:line="254" w:lineRule="auto"/>
            </w:pPr>
            <w:r>
              <w:rPr>
                <w:rFonts w:ascii="Carlito" w:hAnsi="Carlito"/>
                <w:b w:val="0"/>
                <w:i/>
                <w:color w:val="4A5B63"/>
                <w:sz w:val="17"/>
              </w:rPr>
              <w:t>Committees advise; someone signs. Name the individual.</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Escalation route</w:t>
            </w:r>
          </w:p>
        </w:tc>
        <w:tc>
          <w:tcPr>
            <w:tcW w:type="dxa" w:w="3744"/>
          </w:tcPr>
          <w:p>
            <w:pPr>
              <w:spacing w:before="20" w:after="20" w:line="254" w:lineRule="auto"/>
            </w:pPr>
            <w:r>
              <w:rPr>
                <w:rFonts w:ascii="Carlito" w:hAnsi="Carlito"/>
                <w:b w:val="0"/>
                <w:i w:val="0"/>
                <w:sz w:val="19"/>
              </w:rPr>
              <w:t>The body receiving escalations; matters reserved to it; how it is convened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Conflict of interest</w:t>
            </w:r>
          </w:p>
        </w:tc>
        <w:tc>
          <w:tcPr>
            <w:tcW w:type="dxa" w:w="3744"/>
          </w:tcPr>
          <w:p>
            <w:pPr>
              <w:spacing w:before="20" w:after="20" w:line="254" w:lineRule="auto"/>
            </w:pPr>
            <w:r>
              <w:rPr>
                <w:rFonts w:ascii="Carlito" w:hAnsi="Carlito"/>
                <w:b w:val="0"/>
                <w:i w:val="0"/>
                <w:sz w:val="19"/>
              </w:rPr>
              <w:t>Declaration against each agenda, recusal rules, register location</w:t>
            </w:r>
          </w:p>
          <w:p>
            <w:pPr>
              <w:spacing w:before="20" w:after="20" w:line="254" w:lineRule="auto"/>
            </w:pPr>
            <w:r>
              <w:rPr>
                <w:rFonts w:ascii="Carlito" w:hAnsi="Carlito"/>
                <w:b w:val="0"/>
                <w:i/>
                <w:color w:val="4A5B63"/>
                <w:sz w:val="17"/>
              </w:rPr>
              <w:t>Against each agenda, not annually against a form.</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Dissent</w:t>
            </w:r>
          </w:p>
        </w:tc>
        <w:tc>
          <w:tcPr>
            <w:tcW w:type="dxa" w:w="3744"/>
          </w:tcPr>
          <w:p>
            <w:pPr>
              <w:spacing w:before="20" w:after="20" w:line="254" w:lineRule="auto"/>
            </w:pPr>
            <w:r>
              <w:rPr>
                <w:rFonts w:ascii="Carlito" w:hAnsi="Carlito"/>
                <w:b w:val="0"/>
                <w:i w:val="0"/>
                <w:sz w:val="19"/>
              </w:rPr>
              <w:t>Recorded with the member, the point, the grounds, and the condition that would change the position</w:t>
            </w:r>
          </w:p>
          <w:p>
            <w:pPr>
              <w:spacing w:before="20" w:after="20" w:line="254" w:lineRule="auto"/>
            </w:pPr>
            <w:r>
              <w:rPr>
                <w:rFonts w:ascii="Carlito" w:hAnsi="Carlito"/>
                <w:b w:val="0"/>
                <w:i/>
                <w:color w:val="4A5B63"/>
                <w:sz w:val="17"/>
              </w:rPr>
              <w:t>The last element is what makes dissent useful rather than decorative.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Cadence</w:t>
            </w:r>
          </w:p>
        </w:tc>
        <w:tc>
          <w:tcPr>
            <w:tcW w:type="dxa" w:w="3744"/>
          </w:tcPr>
          <w:p>
            <w:pPr>
              <w:spacing w:before="20" w:after="20" w:line="254" w:lineRule="auto"/>
            </w:pPr>
            <w:r>
              <w:rPr>
                <w:rFonts w:ascii="Carlito" w:hAnsi="Carlito"/>
                <w:b w:val="0"/>
                <w:i w:val="0"/>
                <w:sz w:val="19"/>
              </w:rPr>
              <w:t>Routine frequency, triage frequency, and review of cadence against the portfolio</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Ad hoc pathway</w:t>
            </w:r>
          </w:p>
        </w:tc>
        <w:tc>
          <w:tcPr>
            <w:tcW w:type="dxa" w:w="3744"/>
          </w:tcPr>
          <w:p>
            <w:pPr>
              <w:spacing w:before="20" w:after="20" w:line="254" w:lineRule="auto"/>
            </w:pPr>
            <w:r>
              <w:rPr>
                <w:rFonts w:ascii="Carlito" w:hAnsi="Carlito"/>
                <w:b w:val="0"/>
                <w:i w:val="0"/>
                <w:sz w:val="19"/>
              </w:rPr>
              <w:t>The triggers, who may invoke, convening time, reduced quorum, ratification route</w:t>
            </w:r>
          </w:p>
          <w:p>
            <w:pPr>
              <w:spacing w:before="20" w:after="20" w:line="254" w:lineRule="auto"/>
            </w:pPr>
            <w:r>
              <w:rPr>
                <w:rFonts w:ascii="Carlito" w:hAnsi="Carlito"/>
                <w:b w:val="0"/>
                <w:i/>
                <w:color w:val="4A5B63"/>
                <w:sz w:val="17"/>
              </w:rPr>
              <w:t>Settle this before the first urgent case. A committee working out who can authorize a DHPC while a fatal cluster is under discussion will lose a day it does not have.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Records</w:t>
            </w:r>
          </w:p>
        </w:tc>
        <w:tc>
          <w:tcPr>
            <w:tcW w:type="dxa" w:w="3744"/>
          </w:tcPr>
          <w:p>
            <w:pPr>
              <w:spacing w:before="20" w:after="20" w:line="254" w:lineRule="auto"/>
            </w:pPr>
            <w:r>
              <w:rPr>
                <w:rFonts w:ascii="Carlito" w:hAnsi="Carlito"/>
                <w:b w:val="0"/>
                <w:i w:val="0"/>
                <w:sz w:val="19"/>
              </w:rPr>
              <w:t>Pre-read deadline, minutes drafting and approval timing, retention, system of record</w:t>
            </w:r>
          </w:p>
          <w:p>
            <w:pPr>
              <w:spacing w:before="20" w:after="20" w:line="254" w:lineRule="auto"/>
            </w:pPr>
            <w:r>
              <w:rPr>
                <w:rFonts w:ascii="Carlito" w:hAnsi="Carlito"/>
                <w:b w:val="0"/>
                <w:i/>
                <w:color w:val="4A5B63"/>
                <w:sz w:val="17"/>
              </w:rPr>
              <w:t>An urgent decision recorded in an email thread and nowhere else is the single most damaging record-keeping failure a committee can produce.</w:t>
            </w:r>
          </w:p>
        </w:tc>
        <w:tc>
          <w:tcPr>
            <w:tcW w:type="dxa" w:w="3557"/>
          </w:tcPr>
          <w:p>
            <w:pPr>
              <w:spacing w:before="20" w:after="20" w:line="254" w:lineRule="auto"/>
            </w:pPr>
          </w:p>
        </w:tc>
      </w:tr>
    </w:tbl>
    <w:p>
      <w:pPr>
        <w:spacing w:after="40"/>
      </w:pPr>
    </w:p>
    <w:p>
      <w:pPr>
        <w:pStyle w:val="Heading2"/>
      </w:pPr>
      <w:r>
        <w:t>Ad hoc pathway — specification</w:t>
      </w:r>
    </w:p>
    <w:tbl>
      <w:tblPr>
        <w:tblStyle w:val="ToolkitTable"/>
        <w:tblW w:type="auto" w:w="0"/>
        <w:jc w:val="left"/>
        <w:tblLayout w:type="fixed"/>
        <w:tblLook w:val="04A0" w:firstRow="1" w:lastRow="0" w:firstColumn="0" w:lastColumn="0" w:noHBand="0" w:noVBand="1"/>
      </w:tblPr>
      <w:tblGrid>
        <w:gridCol w:w="2059"/>
        <w:gridCol w:w="3182"/>
        <w:gridCol w:w="4118"/>
      </w:tblGrid>
      <w:tr>
        <w:trPr>
          <w:tblHeader/>
        </w:trPr>
        <w:tc>
          <w:tcPr>
            <w:tcW w:type="dxa" w:w="2059"/>
          </w:tcPr>
          <w:p>
            <w:pPr>
              <w:spacing w:before="20" w:after="20" w:line="254" w:lineRule="auto"/>
            </w:pPr>
            <w:r>
              <w:rPr>
                <w:rFonts w:ascii="Carlito" w:hAnsi="Carlito"/>
                <w:b/>
                <w:i w:val="0"/>
                <w:color w:val="FFFFFF"/>
                <w:sz w:val="19"/>
              </w:rPr>
              <w:t>Element</w:t>
            </w:r>
          </w:p>
        </w:tc>
        <w:tc>
          <w:tcPr>
            <w:tcW w:type="dxa" w:w="3182"/>
          </w:tcPr>
          <w:p>
            <w:pPr>
              <w:spacing w:before="20" w:after="20" w:line="254" w:lineRule="auto"/>
            </w:pPr>
            <w:r>
              <w:rPr>
                <w:rFonts w:ascii="Carlito" w:hAnsi="Carlito"/>
                <w:b/>
                <w:i w:val="0"/>
                <w:color w:val="FFFFFF"/>
                <w:sz w:val="19"/>
              </w:rPr>
              <w:t>Routine meeting</w:t>
            </w:r>
          </w:p>
        </w:tc>
        <w:tc>
          <w:tcPr>
            <w:tcW w:type="dxa" w:w="4118"/>
          </w:tcPr>
          <w:p>
            <w:pPr>
              <w:spacing w:before="20" w:after="20" w:line="254" w:lineRule="auto"/>
            </w:pPr>
            <w:r>
              <w:rPr>
                <w:rFonts w:ascii="Carlito" w:hAnsi="Carlito"/>
                <w:b/>
                <w:i w:val="0"/>
                <w:color w:val="FFFFFF"/>
                <w:sz w:val="19"/>
              </w:rPr>
              <w:t>Ad hoc meeting</w:t>
            </w:r>
          </w:p>
        </w:tc>
      </w:tr>
      <w:tr>
        <w:tc>
          <w:tcPr>
            <w:tcW w:type="dxa" w:w="2059"/>
          </w:tcPr>
          <w:p>
            <w:pPr>
              <w:spacing w:before="20" w:after="20" w:line="254" w:lineRule="auto"/>
            </w:pPr>
            <w:r>
              <w:rPr>
                <w:rFonts w:ascii="Carlito" w:hAnsi="Carlito"/>
                <w:b w:val="0"/>
                <w:i w:val="0"/>
                <w:sz w:val="19"/>
              </w:rPr>
              <w:t>Convening time</w:t>
            </w:r>
          </w:p>
        </w:tc>
        <w:tc>
          <w:tcPr>
            <w:tcW w:type="dxa" w:w="3182"/>
          </w:tcPr>
          <w:p>
            <w:pPr>
              <w:spacing w:before="20" w:after="20" w:line="254" w:lineRule="auto"/>
            </w:pPr>
            <w:r>
              <w:rPr>
                <w:rFonts w:ascii="Carlito" w:hAnsi="Carlito"/>
                <w:b w:val="0"/>
                <w:i w:val="0"/>
                <w:sz w:val="19"/>
              </w:rPr>
              <w:t>Scheduled cadence</w:t>
            </w:r>
          </w:p>
        </w:tc>
        <w:tc>
          <w:tcPr>
            <w:tcW w:type="dxa" w:w="4118"/>
          </w:tcPr>
          <w:p>
            <w:pPr>
              <w:spacing w:before="20" w:after="20" w:line="254" w:lineRule="auto"/>
            </w:pPr>
          </w:p>
          <w:p>
            <w:pPr>
              <w:spacing w:before="20" w:after="20" w:line="254" w:lineRule="auto"/>
            </w:pPr>
            <w:r>
              <w:rPr>
                <w:rFonts w:ascii="Carlito" w:hAnsi="Carlito"/>
                <w:b w:val="0"/>
                <w:i/>
                <w:color w:val="4A5B63"/>
                <w:sz w:val="17"/>
              </w:rPr>
              <w:t>One to two business days is an illustrative company design.</w:t>
            </w:r>
          </w:p>
        </w:tc>
      </w:tr>
      <w:tr>
        <w:tc>
          <w:tcPr>
            <w:tcW w:type="dxa" w:w="2059"/>
          </w:tcPr>
          <w:p>
            <w:pPr>
              <w:spacing w:before="20" w:after="20" w:line="254" w:lineRule="auto"/>
            </w:pPr>
            <w:r>
              <w:rPr>
                <w:rFonts w:ascii="Carlito" w:hAnsi="Carlito"/>
                <w:b w:val="0"/>
                <w:i w:val="0"/>
                <w:sz w:val="19"/>
              </w:rPr>
              <w:t>Quorum</w:t>
            </w:r>
          </w:p>
        </w:tc>
        <w:tc>
          <w:tcPr>
            <w:tcW w:type="dxa" w:w="3182"/>
          </w:tcPr>
          <w:p>
            <w:pPr>
              <w:spacing w:before="20" w:after="20" w:line="254" w:lineRule="auto"/>
            </w:pPr>
            <w:r>
              <w:rPr>
                <w:rFonts w:ascii="Carlito" w:hAnsi="Carlito"/>
                <w:b w:val="0"/>
                <w:i w:val="0"/>
                <w:sz w:val="19"/>
              </w:rPr>
              <w:t>Full quorum per charter</w:t>
            </w:r>
          </w:p>
        </w:tc>
        <w:tc>
          <w:tcPr>
            <w:tcW w:type="dxa" w:w="4118"/>
          </w:tcPr>
          <w:p>
            <w:pPr>
              <w:spacing w:before="20" w:after="20" w:line="254" w:lineRule="auto"/>
            </w:pPr>
          </w:p>
          <w:p>
            <w:pPr>
              <w:spacing w:before="20" w:after="20" w:line="254" w:lineRule="auto"/>
            </w:pPr>
            <w:r>
              <w:rPr>
                <w:rFonts w:ascii="Carlito" w:hAnsi="Carlito"/>
                <w:b w:val="0"/>
                <w:i/>
                <w:color w:val="4A5B63"/>
                <w:sz w:val="17"/>
              </w:rPr>
              <w:t>Reduced quorum: chair or deputy, plus the medical position holder, plus one further deciding member.</w:t>
            </w:r>
          </w:p>
        </w:tc>
      </w:tr>
      <w:tr>
        <w:tc>
          <w:tcPr>
            <w:tcW w:type="dxa" w:w="2059"/>
          </w:tcPr>
          <w:p>
            <w:pPr>
              <w:spacing w:before="20" w:after="20" w:line="254" w:lineRule="auto"/>
            </w:pPr>
            <w:r>
              <w:rPr>
                <w:rFonts w:ascii="Carlito" w:hAnsi="Carlito"/>
                <w:b w:val="0"/>
                <w:i w:val="0"/>
                <w:sz w:val="19"/>
              </w:rPr>
              <w:t>Pre-read</w:t>
            </w:r>
          </w:p>
        </w:tc>
        <w:tc>
          <w:tcPr>
            <w:tcW w:type="dxa" w:w="3182"/>
          </w:tcPr>
          <w:p>
            <w:pPr>
              <w:spacing w:before="20" w:after="20" w:line="254" w:lineRule="auto"/>
            </w:pPr>
            <w:r>
              <w:rPr>
                <w:rFonts w:ascii="Carlito" w:hAnsi="Carlito"/>
                <w:b w:val="0"/>
                <w:i w:val="0"/>
                <w:sz w:val="19"/>
              </w:rPr>
              <w:t>Full pre-read by the stated deadline</w:t>
            </w:r>
          </w:p>
        </w:tc>
        <w:tc>
          <w:tcPr>
            <w:tcW w:type="dxa" w:w="4118"/>
          </w:tcPr>
          <w:p>
            <w:pPr>
              <w:spacing w:before="20" w:after="20" w:line="254" w:lineRule="auto"/>
            </w:pPr>
            <w:r>
              <w:rPr>
                <w:rFonts w:ascii="Carlito" w:hAnsi="Carlito"/>
                <w:b w:val="0"/>
                <w:i w:val="0"/>
                <w:sz w:val="19"/>
              </w:rPr>
              <w:t>Single page</w:t>
            </w:r>
          </w:p>
        </w:tc>
      </w:tr>
      <w:tr>
        <w:tc>
          <w:tcPr>
            <w:tcW w:type="dxa" w:w="2059"/>
          </w:tcPr>
          <w:p>
            <w:pPr>
              <w:spacing w:before="20" w:after="20" w:line="254" w:lineRule="auto"/>
            </w:pPr>
            <w:r>
              <w:rPr>
                <w:rFonts w:ascii="Carlito" w:hAnsi="Carlito"/>
                <w:b w:val="0"/>
                <w:i w:val="0"/>
                <w:sz w:val="19"/>
              </w:rPr>
              <w:t>Effect of the decision</w:t>
            </w:r>
          </w:p>
        </w:tc>
        <w:tc>
          <w:tcPr>
            <w:tcW w:type="dxa" w:w="3182"/>
          </w:tcPr>
          <w:p>
            <w:pPr>
              <w:spacing w:before="20" w:after="20" w:line="254" w:lineRule="auto"/>
            </w:pPr>
            <w:r>
              <w:rPr>
                <w:rFonts w:ascii="Carlito" w:hAnsi="Carlito"/>
                <w:b w:val="0"/>
                <w:i w:val="0"/>
                <w:sz w:val="19"/>
              </w:rPr>
              <w:t>Immediate</w:t>
            </w:r>
          </w:p>
        </w:tc>
        <w:tc>
          <w:tcPr>
            <w:tcW w:type="dxa" w:w="4118"/>
          </w:tcPr>
          <w:p>
            <w:pPr>
              <w:spacing w:before="20" w:after="20" w:line="254" w:lineRule="auto"/>
            </w:pPr>
            <w:r>
              <w:rPr>
                <w:rFonts w:ascii="Carlito" w:hAnsi="Carlito"/>
                <w:b w:val="0"/>
                <w:i w:val="0"/>
                <w:sz w:val="19"/>
              </w:rPr>
              <w:t>Immediate, with ratification at the next routine meeting</w:t>
            </w:r>
          </w:p>
        </w:tc>
      </w:tr>
      <w:tr>
        <w:tc>
          <w:tcPr>
            <w:tcW w:type="dxa" w:w="2059"/>
          </w:tcPr>
          <w:p>
            <w:pPr>
              <w:spacing w:before="20" w:after="20" w:line="254" w:lineRule="auto"/>
            </w:pPr>
            <w:r>
              <w:rPr>
                <w:rFonts w:ascii="Carlito" w:hAnsi="Carlito"/>
                <w:b w:val="0"/>
                <w:i w:val="0"/>
                <w:sz w:val="19"/>
              </w:rPr>
              <w:t>Documentation</w:t>
            </w:r>
          </w:p>
        </w:tc>
        <w:tc>
          <w:tcPr>
            <w:tcW w:type="dxa" w:w="3182"/>
          </w:tcPr>
          <w:p>
            <w:pPr>
              <w:spacing w:before="20" w:after="20" w:line="254" w:lineRule="auto"/>
            </w:pPr>
            <w:r>
              <w:rPr>
                <w:rFonts w:ascii="Carlito" w:hAnsi="Carlito"/>
                <w:b w:val="0"/>
                <w:i w:val="0"/>
                <w:sz w:val="19"/>
              </w:rPr>
              <w:t>Full minutes</w:t>
            </w:r>
          </w:p>
        </w:tc>
        <w:tc>
          <w:tcPr>
            <w:tcW w:type="dxa" w:w="4118"/>
          </w:tcPr>
          <w:p>
            <w:pPr>
              <w:spacing w:before="20" w:after="20" w:line="254" w:lineRule="auto"/>
            </w:pPr>
            <w:r>
              <w:rPr>
                <w:rFonts w:ascii="Carlito" w:hAnsi="Carlito"/>
                <w:b w:val="0"/>
                <w:i w:val="0"/>
                <w:sz w:val="19"/>
              </w:rPr>
              <w:t>Full minutes. Documentation does not relax.</w:t>
            </w:r>
          </w:p>
        </w:tc>
      </w:tr>
    </w:tbl>
    <w:p>
      <w:pPr>
        <w:spacing w:after="40"/>
      </w:pPr>
    </w:p>
    <w:p>
      <w:r>
        <w:br w:type="page"/>
      </w:r>
    </w:p>
    <w:p>
      <w:pPr>
        <w:pStyle w:val="Heading1"/>
      </w:pPr>
      <w:r>
        <w:t>Instrument 2 — Meeting agenda with time allocations</w:t>
      </w:r>
    </w:p>
    <w:p>
      <w:pPr>
        <w:pStyle w:val="SubtleNote"/>
      </w:pPr>
      <w:r>
        <w:t>Sixty-minute agenda, an illustrative company design. Write every substantive agenda line as a decision requested. An agenda whose items are nouns produces a meeting that reviews information rather than disposing of items.</w:t>
      </w:r>
    </w:p>
    <w:tbl>
      <w:tblPr>
        <w:tblStyle w:val="ToolkitTable"/>
        <w:tblW w:type="auto" w:w="0"/>
        <w:jc w:val="left"/>
        <w:tblLayout w:type="fixed"/>
        <w:tblLook w:val="04A0" w:firstRow="1" w:lastRow="0" w:firstColumn="0" w:lastColumn="0" w:noHBand="0" w:noVBand="1"/>
      </w:tblPr>
      <w:tblGrid>
        <w:gridCol w:w="842"/>
        <w:gridCol w:w="1872"/>
        <w:gridCol w:w="4025"/>
        <w:gridCol w:w="2621"/>
      </w:tblGrid>
      <w:tr>
        <w:trPr>
          <w:tblHeader/>
        </w:trPr>
        <w:tc>
          <w:tcPr>
            <w:tcW w:type="dxa" w:w="842"/>
          </w:tcPr>
          <w:p>
            <w:pPr>
              <w:spacing w:before="20" w:after="20" w:line="254" w:lineRule="auto"/>
            </w:pPr>
            <w:r>
              <w:rPr>
                <w:rFonts w:ascii="Carlito" w:hAnsi="Carlito"/>
                <w:b/>
                <w:i w:val="0"/>
                <w:color w:val="FFFFFF"/>
                <w:sz w:val="19"/>
              </w:rPr>
              <w:t>Minutes</w:t>
            </w:r>
          </w:p>
        </w:tc>
        <w:tc>
          <w:tcPr>
            <w:tcW w:type="dxa" w:w="1872"/>
          </w:tcPr>
          <w:p>
            <w:pPr>
              <w:spacing w:before="20" w:after="20" w:line="254" w:lineRule="auto"/>
            </w:pPr>
            <w:r>
              <w:rPr>
                <w:rFonts w:ascii="Carlito" w:hAnsi="Carlito"/>
                <w:b/>
                <w:i w:val="0"/>
                <w:color w:val="FFFFFF"/>
                <w:sz w:val="19"/>
              </w:rPr>
              <w:t>Item</w:t>
            </w:r>
          </w:p>
        </w:tc>
        <w:tc>
          <w:tcPr>
            <w:tcW w:type="dxa" w:w="4025"/>
          </w:tcPr>
          <w:p>
            <w:pPr>
              <w:spacing w:before="20" w:after="20" w:line="254" w:lineRule="auto"/>
            </w:pPr>
            <w:r>
              <w:rPr>
                <w:rFonts w:ascii="Carlito" w:hAnsi="Carlito"/>
                <w:b/>
                <w:i w:val="0"/>
                <w:color w:val="FFFFFF"/>
                <w:sz w:val="19"/>
              </w:rPr>
              <w:t>Purpose</w:t>
            </w:r>
          </w:p>
        </w:tc>
        <w:tc>
          <w:tcPr>
            <w:tcW w:type="dxa" w:w="2621"/>
          </w:tcPr>
          <w:p>
            <w:pPr>
              <w:spacing w:before="20" w:after="20" w:line="254" w:lineRule="auto"/>
            </w:pPr>
            <w:r>
              <w:rPr>
                <w:rFonts w:ascii="Carlito" w:hAnsi="Carlito"/>
                <w:b/>
                <w:i w:val="0"/>
                <w:color w:val="FFFFFF"/>
                <w:sz w:val="19"/>
              </w:rPr>
              <w:t>Output</w:t>
            </w:r>
          </w:p>
        </w:tc>
      </w:tr>
      <w:tr>
        <w:tc>
          <w:tcPr>
            <w:tcW w:type="dxa" w:w="842"/>
          </w:tcPr>
          <w:p>
            <w:pPr>
              <w:spacing w:before="20" w:after="20" w:line="254" w:lineRule="auto"/>
            </w:pPr>
            <w:r>
              <w:rPr>
                <w:rFonts w:ascii="Carlito" w:hAnsi="Carlito"/>
                <w:b w:val="0"/>
                <w:i w:val="0"/>
                <w:sz w:val="19"/>
              </w:rPr>
              <w:t>0–3</w:t>
            </w:r>
          </w:p>
        </w:tc>
        <w:tc>
          <w:tcPr>
            <w:tcW w:type="dxa" w:w="1872"/>
          </w:tcPr>
          <w:p>
            <w:pPr>
              <w:spacing w:before="20" w:after="20" w:line="254" w:lineRule="auto"/>
            </w:pPr>
            <w:r>
              <w:rPr>
                <w:rFonts w:ascii="Carlito" w:hAnsi="Carlito"/>
                <w:b w:val="0"/>
                <w:i w:val="0"/>
                <w:sz w:val="19"/>
              </w:rPr>
              <w:t>Opening</w:t>
            </w:r>
          </w:p>
        </w:tc>
        <w:tc>
          <w:tcPr>
            <w:tcW w:type="dxa" w:w="4025"/>
          </w:tcPr>
          <w:p>
            <w:pPr>
              <w:spacing w:before="20" w:after="20" w:line="254" w:lineRule="auto"/>
            </w:pPr>
            <w:r>
              <w:rPr>
                <w:rFonts w:ascii="Carlito" w:hAnsi="Carlito"/>
                <w:b w:val="0"/>
                <w:i w:val="0"/>
                <w:sz w:val="19"/>
              </w:rPr>
              <w:t>Quorum confirmed, conflicts declared against today's agenda, prior minutes approved</w:t>
            </w:r>
          </w:p>
        </w:tc>
        <w:tc>
          <w:tcPr>
            <w:tcW w:type="dxa" w:w="2621"/>
          </w:tcPr>
          <w:p>
            <w:pPr>
              <w:spacing w:before="20" w:after="20" w:line="254" w:lineRule="auto"/>
            </w:pPr>
            <w:r>
              <w:rPr>
                <w:rFonts w:ascii="Carlito" w:hAnsi="Carlito"/>
                <w:b w:val="0"/>
                <w:i w:val="0"/>
                <w:sz w:val="19"/>
              </w:rPr>
              <w:t>Record entries</w:t>
            </w:r>
          </w:p>
        </w:tc>
      </w:tr>
      <w:tr>
        <w:tc>
          <w:tcPr>
            <w:tcW w:type="dxa" w:w="842"/>
          </w:tcPr>
          <w:p>
            <w:pPr>
              <w:spacing w:before="20" w:after="20" w:line="254" w:lineRule="auto"/>
            </w:pPr>
            <w:r>
              <w:rPr>
                <w:rFonts w:ascii="Carlito" w:hAnsi="Carlito"/>
                <w:b w:val="0"/>
                <w:i w:val="0"/>
                <w:sz w:val="19"/>
              </w:rPr>
              <w:t>3–8</w:t>
            </w:r>
          </w:p>
        </w:tc>
        <w:tc>
          <w:tcPr>
            <w:tcW w:type="dxa" w:w="1872"/>
          </w:tcPr>
          <w:p>
            <w:pPr>
              <w:spacing w:before="20" w:after="20" w:line="254" w:lineRule="auto"/>
            </w:pPr>
            <w:r>
              <w:rPr>
                <w:rFonts w:ascii="Carlito" w:hAnsi="Carlito"/>
                <w:b w:val="0"/>
                <w:i w:val="0"/>
                <w:sz w:val="19"/>
              </w:rPr>
              <w:t>Action review</w:t>
            </w:r>
          </w:p>
        </w:tc>
        <w:tc>
          <w:tcPr>
            <w:tcW w:type="dxa" w:w="4025"/>
          </w:tcPr>
          <w:p>
            <w:pPr>
              <w:spacing w:before="20" w:after="20" w:line="254" w:lineRule="auto"/>
            </w:pPr>
            <w:r>
              <w:rPr>
                <w:rFonts w:ascii="Carlito" w:hAnsi="Carlito"/>
                <w:b w:val="0"/>
                <w:i w:val="0"/>
                <w:sz w:val="19"/>
              </w:rPr>
              <w:t>Overdue actions only; each owner states a revised date or escalates</w:t>
            </w:r>
          </w:p>
        </w:tc>
        <w:tc>
          <w:tcPr>
            <w:tcW w:type="dxa" w:w="2621"/>
          </w:tcPr>
          <w:p>
            <w:pPr>
              <w:spacing w:before="20" w:after="20" w:line="254" w:lineRule="auto"/>
            </w:pPr>
            <w:r>
              <w:rPr>
                <w:rFonts w:ascii="Carlito" w:hAnsi="Carlito"/>
                <w:b w:val="0"/>
                <w:i w:val="0"/>
                <w:sz w:val="19"/>
              </w:rPr>
              <w:t>Re-dated or escalated actions</w:t>
            </w:r>
          </w:p>
        </w:tc>
      </w:tr>
      <w:tr>
        <w:tc>
          <w:tcPr>
            <w:tcW w:type="dxa" w:w="842"/>
          </w:tcPr>
          <w:p>
            <w:pPr>
              <w:spacing w:before="20" w:after="20" w:line="254" w:lineRule="auto"/>
            </w:pPr>
            <w:r>
              <w:rPr>
                <w:rFonts w:ascii="Carlito" w:hAnsi="Carlito"/>
                <w:b w:val="0"/>
                <w:i w:val="0"/>
                <w:sz w:val="19"/>
              </w:rPr>
              <w:t>8–20</w:t>
            </w:r>
          </w:p>
        </w:tc>
        <w:tc>
          <w:tcPr>
            <w:tcW w:type="dxa" w:w="1872"/>
          </w:tcPr>
          <w:p>
            <w:pPr>
              <w:spacing w:before="20" w:after="20" w:line="254" w:lineRule="auto"/>
            </w:pPr>
            <w:r>
              <w:rPr>
                <w:rFonts w:ascii="Carlito" w:hAnsi="Carlito"/>
                <w:b w:val="0"/>
                <w:i w:val="0"/>
                <w:sz w:val="19"/>
              </w:rPr>
              <w:t>Triage of new alerts</w:t>
            </w:r>
          </w:p>
        </w:tc>
        <w:tc>
          <w:tcPr>
            <w:tcW w:type="dxa" w:w="4025"/>
          </w:tcPr>
          <w:p>
            <w:pPr>
              <w:spacing w:before="20" w:after="20" w:line="254" w:lineRule="auto"/>
            </w:pPr>
            <w:r>
              <w:rPr>
                <w:rFonts w:ascii="Carlito" w:hAnsi="Carlito"/>
                <w:b w:val="0"/>
                <w:i w:val="0"/>
                <w:sz w:val="19"/>
              </w:rPr>
              <w:t>Batch disposition of alerts since last meeting; no presentation beyond two minutes each</w:t>
            </w:r>
          </w:p>
        </w:tc>
        <w:tc>
          <w:tcPr>
            <w:tcW w:type="dxa" w:w="2621"/>
          </w:tcPr>
          <w:p>
            <w:pPr>
              <w:spacing w:before="20" w:after="20" w:line="254" w:lineRule="auto"/>
            </w:pPr>
            <w:r>
              <w:rPr>
                <w:rFonts w:ascii="Carlito" w:hAnsi="Carlito"/>
                <w:b w:val="0"/>
                <w:i w:val="0"/>
                <w:sz w:val="19"/>
              </w:rPr>
              <w:t>Close, assign for validation, or escalate, per alert</w:t>
            </w:r>
          </w:p>
        </w:tc>
      </w:tr>
      <w:tr>
        <w:tc>
          <w:tcPr>
            <w:tcW w:type="dxa" w:w="842"/>
          </w:tcPr>
          <w:p>
            <w:pPr>
              <w:spacing w:before="20" w:after="20" w:line="254" w:lineRule="auto"/>
            </w:pPr>
            <w:r>
              <w:rPr>
                <w:rFonts w:ascii="Carlito" w:hAnsi="Carlito"/>
                <w:b w:val="0"/>
                <w:i w:val="0"/>
                <w:sz w:val="19"/>
              </w:rPr>
              <w:t>20–45</w:t>
            </w:r>
          </w:p>
        </w:tc>
        <w:tc>
          <w:tcPr>
            <w:tcW w:type="dxa" w:w="1872"/>
          </w:tcPr>
          <w:p>
            <w:pPr>
              <w:spacing w:before="20" w:after="20" w:line="254" w:lineRule="auto"/>
            </w:pPr>
            <w:r>
              <w:rPr>
                <w:rFonts w:ascii="Carlito" w:hAnsi="Carlito"/>
                <w:b w:val="0"/>
                <w:i w:val="0"/>
                <w:sz w:val="19"/>
              </w:rPr>
              <w:t>Decisions</w:t>
            </w:r>
          </w:p>
        </w:tc>
        <w:tc>
          <w:tcPr>
            <w:tcW w:type="dxa" w:w="4025"/>
          </w:tcPr>
          <w:p>
            <w:pPr>
              <w:spacing w:before="20" w:after="20" w:line="254" w:lineRule="auto"/>
            </w:pPr>
            <w:r>
              <w:rPr>
                <w:rFonts w:ascii="Carlito" w:hAnsi="Carlito"/>
                <w:b w:val="0"/>
                <w:i w:val="0"/>
                <w:sz w:val="19"/>
              </w:rPr>
              <w:t>Two or three substantive items, each opened by reading the decision requested</w:t>
            </w:r>
          </w:p>
        </w:tc>
        <w:tc>
          <w:tcPr>
            <w:tcW w:type="dxa" w:w="2621"/>
          </w:tcPr>
          <w:p>
            <w:pPr>
              <w:spacing w:before="20" w:after="20" w:line="254" w:lineRule="auto"/>
            </w:pPr>
            <w:r>
              <w:rPr>
                <w:rFonts w:ascii="Carlito" w:hAnsi="Carlito"/>
                <w:b w:val="0"/>
                <w:i w:val="0"/>
                <w:sz w:val="19"/>
              </w:rPr>
              <w:t>Decision, rationale, priority, evidence plan, next review date</w:t>
            </w:r>
          </w:p>
        </w:tc>
      </w:tr>
      <w:tr>
        <w:tc>
          <w:tcPr>
            <w:tcW w:type="dxa" w:w="842"/>
          </w:tcPr>
          <w:p>
            <w:pPr>
              <w:spacing w:before="20" w:after="20" w:line="254" w:lineRule="auto"/>
            </w:pPr>
            <w:r>
              <w:rPr>
                <w:rFonts w:ascii="Carlito" w:hAnsi="Carlito"/>
                <w:b w:val="0"/>
                <w:i w:val="0"/>
                <w:sz w:val="19"/>
              </w:rPr>
              <w:t>45–52</w:t>
            </w:r>
          </w:p>
        </w:tc>
        <w:tc>
          <w:tcPr>
            <w:tcW w:type="dxa" w:w="1872"/>
          </w:tcPr>
          <w:p>
            <w:pPr>
              <w:spacing w:before="20" w:after="20" w:line="254" w:lineRule="auto"/>
            </w:pPr>
            <w:r>
              <w:rPr>
                <w:rFonts w:ascii="Carlito" w:hAnsi="Carlito"/>
                <w:b w:val="0"/>
                <w:i w:val="0"/>
                <w:sz w:val="19"/>
              </w:rPr>
              <w:t>New and emerging information</w:t>
            </w:r>
          </w:p>
        </w:tc>
        <w:tc>
          <w:tcPr>
            <w:tcW w:type="dxa" w:w="4025"/>
          </w:tcPr>
          <w:p>
            <w:pPr>
              <w:spacing w:before="20" w:after="20" w:line="254" w:lineRule="auto"/>
            </w:pPr>
            <w:r>
              <w:rPr>
                <w:rFonts w:ascii="Carlito" w:hAnsi="Carlito"/>
                <w:b w:val="0"/>
                <w:i w:val="0"/>
                <w:sz w:val="19"/>
              </w:rPr>
              <w:t>Literature, authority publications, class information, media; allocation only</w:t>
            </w:r>
          </w:p>
        </w:tc>
        <w:tc>
          <w:tcPr>
            <w:tcW w:type="dxa" w:w="2621"/>
          </w:tcPr>
          <w:p>
            <w:pPr>
              <w:spacing w:before="20" w:after="20" w:line="254" w:lineRule="auto"/>
            </w:pPr>
            <w:r>
              <w:rPr>
                <w:rFonts w:ascii="Carlito" w:hAnsi="Carlito"/>
                <w:b w:val="0"/>
                <w:i w:val="0"/>
                <w:sz w:val="19"/>
              </w:rPr>
              <w:t>Owner and due date per item</w:t>
            </w:r>
          </w:p>
        </w:tc>
      </w:tr>
      <w:tr>
        <w:tc>
          <w:tcPr>
            <w:tcW w:type="dxa" w:w="842"/>
          </w:tcPr>
          <w:p>
            <w:pPr>
              <w:spacing w:before="20" w:after="20" w:line="254" w:lineRule="auto"/>
            </w:pPr>
            <w:r>
              <w:rPr>
                <w:rFonts w:ascii="Carlito" w:hAnsi="Carlito"/>
                <w:b w:val="0"/>
                <w:i w:val="0"/>
                <w:sz w:val="19"/>
              </w:rPr>
              <w:t>52–58</w:t>
            </w:r>
          </w:p>
        </w:tc>
        <w:tc>
          <w:tcPr>
            <w:tcW w:type="dxa" w:w="1872"/>
          </w:tcPr>
          <w:p>
            <w:pPr>
              <w:spacing w:before="20" w:after="20" w:line="254" w:lineRule="auto"/>
            </w:pPr>
            <w:r>
              <w:rPr>
                <w:rFonts w:ascii="Carlito" w:hAnsi="Carlito"/>
                <w:b w:val="0"/>
                <w:i w:val="0"/>
                <w:sz w:val="19"/>
              </w:rPr>
              <w:t>Escalations and regulatory interface</w:t>
            </w:r>
          </w:p>
        </w:tc>
        <w:tc>
          <w:tcPr>
            <w:tcW w:type="dxa" w:w="4025"/>
          </w:tcPr>
          <w:p>
            <w:pPr>
              <w:spacing w:before="20" w:after="20" w:line="254" w:lineRule="auto"/>
            </w:pPr>
            <w:r>
              <w:rPr>
                <w:rFonts w:ascii="Carlito" w:hAnsi="Carlito"/>
                <w:b w:val="0"/>
                <w:i w:val="0"/>
                <w:sz w:val="19"/>
              </w:rPr>
              <w:t>Items leaving the committee's remit; notification obligations</w:t>
            </w:r>
          </w:p>
        </w:tc>
        <w:tc>
          <w:tcPr>
            <w:tcW w:type="dxa" w:w="2621"/>
          </w:tcPr>
          <w:p>
            <w:pPr>
              <w:spacing w:before="20" w:after="20" w:line="254" w:lineRule="auto"/>
            </w:pPr>
            <w:r>
              <w:rPr>
                <w:rFonts w:ascii="Carlito" w:hAnsi="Carlito"/>
                <w:b w:val="0"/>
                <w:i w:val="0"/>
                <w:sz w:val="19"/>
              </w:rPr>
              <w:t>Escalation record, notification owner</w:t>
            </w:r>
          </w:p>
        </w:tc>
      </w:tr>
      <w:tr>
        <w:tc>
          <w:tcPr>
            <w:tcW w:type="dxa" w:w="842"/>
          </w:tcPr>
          <w:p>
            <w:pPr>
              <w:spacing w:before="20" w:after="20" w:line="254" w:lineRule="auto"/>
            </w:pPr>
            <w:r>
              <w:rPr>
                <w:rFonts w:ascii="Carlito" w:hAnsi="Carlito"/>
                <w:b w:val="0"/>
                <w:i w:val="0"/>
                <w:sz w:val="19"/>
              </w:rPr>
              <w:t>58–60</w:t>
            </w:r>
          </w:p>
        </w:tc>
        <w:tc>
          <w:tcPr>
            <w:tcW w:type="dxa" w:w="1872"/>
          </w:tcPr>
          <w:p>
            <w:pPr>
              <w:spacing w:before="20" w:after="20" w:line="254" w:lineRule="auto"/>
            </w:pPr>
            <w:r>
              <w:rPr>
                <w:rFonts w:ascii="Carlito" w:hAnsi="Carlito"/>
                <w:b w:val="0"/>
                <w:i w:val="0"/>
                <w:sz w:val="19"/>
              </w:rPr>
              <w:t>Close</w:t>
            </w:r>
          </w:p>
        </w:tc>
        <w:tc>
          <w:tcPr>
            <w:tcW w:type="dxa" w:w="4025"/>
          </w:tcPr>
          <w:p>
            <w:pPr>
              <w:spacing w:before="20" w:after="20" w:line="254" w:lineRule="auto"/>
            </w:pPr>
            <w:r>
              <w:rPr>
                <w:rFonts w:ascii="Carlito" w:hAnsi="Carlito"/>
                <w:b w:val="0"/>
                <w:i w:val="0"/>
                <w:sz w:val="19"/>
              </w:rPr>
              <w:t>Chair reads back each decision, owner and due date</w:t>
            </w:r>
          </w:p>
        </w:tc>
        <w:tc>
          <w:tcPr>
            <w:tcW w:type="dxa" w:w="2621"/>
          </w:tcPr>
          <w:p>
            <w:pPr>
              <w:spacing w:before="20" w:after="20" w:line="254" w:lineRule="auto"/>
            </w:pPr>
            <w:r>
              <w:rPr>
                <w:rFonts w:ascii="Carlito" w:hAnsi="Carlito"/>
                <w:b w:val="0"/>
                <w:i w:val="0"/>
                <w:sz w:val="19"/>
              </w:rPr>
              <w:t>Confirmed decision log</w:t>
            </w:r>
          </w:p>
        </w:tc>
      </w:tr>
    </w:tbl>
    <w:p>
      <w:pPr>
        <w:spacing w:after="40"/>
      </w:pPr>
    </w:p>
    <w:p>
      <w:pPr>
        <w:pStyle w:val="Heading2"/>
      </w:pPr>
      <w:r>
        <w:t>Agenda for this meeting</w:t>
      </w:r>
    </w:p>
    <w:tbl>
      <w:tblPr>
        <w:tblStyle w:val="ToolkitTable"/>
        <w:tblW w:type="auto" w:w="0"/>
        <w:jc w:val="left"/>
        <w:tblLayout w:type="fixed"/>
        <w:tblLook w:val="04A0" w:firstRow="1" w:lastRow="0" w:firstColumn="0" w:lastColumn="0" w:noHBand="0" w:noVBand="1"/>
      </w:tblPr>
      <w:tblGrid>
        <w:gridCol w:w="749"/>
        <w:gridCol w:w="2059"/>
        <w:gridCol w:w="4306"/>
        <w:gridCol w:w="1123"/>
        <w:gridCol w:w="1123"/>
      </w:tblGrid>
      <w:tr>
        <w:trPr>
          <w:tblHeader/>
        </w:trPr>
        <w:tc>
          <w:tcPr>
            <w:tcW w:type="dxa" w:w="749"/>
          </w:tcPr>
          <w:p>
            <w:pPr>
              <w:spacing w:before="20" w:after="20" w:line="254" w:lineRule="auto"/>
            </w:pPr>
            <w:r>
              <w:rPr>
                <w:rFonts w:ascii="Carlito" w:hAnsi="Carlito"/>
                <w:b/>
                <w:i w:val="0"/>
                <w:color w:val="FFFFFF"/>
                <w:sz w:val="19"/>
              </w:rPr>
              <w:t>Time</w:t>
            </w:r>
          </w:p>
        </w:tc>
        <w:tc>
          <w:tcPr>
            <w:tcW w:type="dxa" w:w="2059"/>
          </w:tcPr>
          <w:p>
            <w:pPr>
              <w:spacing w:before="20" w:after="20" w:line="254" w:lineRule="auto"/>
            </w:pPr>
            <w:r>
              <w:rPr>
                <w:rFonts w:ascii="Carlito" w:hAnsi="Carlito"/>
                <w:b/>
                <w:i w:val="0"/>
                <w:color w:val="FFFFFF"/>
                <w:sz w:val="19"/>
              </w:rPr>
              <w:t>Item</w:t>
            </w:r>
          </w:p>
        </w:tc>
        <w:tc>
          <w:tcPr>
            <w:tcW w:type="dxa" w:w="4306"/>
          </w:tcPr>
          <w:p>
            <w:pPr>
              <w:spacing w:before="20" w:after="20" w:line="254" w:lineRule="auto"/>
            </w:pPr>
            <w:r>
              <w:rPr>
                <w:rFonts w:ascii="Carlito" w:hAnsi="Carlito"/>
                <w:b/>
                <w:i w:val="0"/>
                <w:color w:val="FFFFFF"/>
                <w:sz w:val="19"/>
              </w:rPr>
              <w:t>Decision requested (write as a question the committee can answer)</w:t>
            </w:r>
          </w:p>
        </w:tc>
        <w:tc>
          <w:tcPr>
            <w:tcW w:type="dxa" w:w="1123"/>
          </w:tcPr>
          <w:p>
            <w:pPr>
              <w:spacing w:before="20" w:after="20" w:line="254" w:lineRule="auto"/>
            </w:pPr>
            <w:r>
              <w:rPr>
                <w:rFonts w:ascii="Carlito" w:hAnsi="Carlito"/>
                <w:b/>
                <w:i w:val="0"/>
                <w:color w:val="FFFFFF"/>
                <w:sz w:val="19"/>
              </w:rPr>
              <w:t>Owner</w:t>
            </w:r>
          </w:p>
        </w:tc>
        <w:tc>
          <w:tcPr>
            <w:tcW w:type="dxa" w:w="1123"/>
          </w:tcPr>
          <w:p>
            <w:pPr>
              <w:spacing w:before="20" w:after="20" w:line="254" w:lineRule="auto"/>
            </w:pPr>
            <w:r>
              <w:rPr>
                <w:rFonts w:ascii="Carlito" w:hAnsi="Carlito"/>
                <w:b/>
                <w:i w:val="0"/>
                <w:color w:val="FFFFFF"/>
                <w:sz w:val="19"/>
              </w:rPr>
              <w:t>Pre-read ref.</w:t>
            </w:r>
          </w:p>
        </w:tc>
      </w:tr>
      <w:tr>
        <w:tc>
          <w:tcPr>
            <w:tcW w:type="dxa" w:w="749"/>
          </w:tcPr>
          <w:p>
            <w:pPr>
              <w:spacing w:before="20" w:after="20" w:line="254" w:lineRule="auto"/>
            </w:pPr>
          </w:p>
        </w:tc>
        <w:tc>
          <w:tcPr>
            <w:tcW w:type="dxa" w:w="2059"/>
          </w:tcPr>
          <w:p>
            <w:pPr>
              <w:spacing w:before="20" w:after="20" w:line="254" w:lineRule="auto"/>
            </w:pPr>
          </w:p>
        </w:tc>
        <w:tc>
          <w:tcPr>
            <w:tcW w:type="dxa" w:w="4306"/>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r>
      <w:tr>
        <w:tc>
          <w:tcPr>
            <w:tcW w:type="dxa" w:w="749"/>
          </w:tcPr>
          <w:p>
            <w:pPr>
              <w:spacing w:before="20" w:after="20" w:line="254" w:lineRule="auto"/>
            </w:pPr>
          </w:p>
        </w:tc>
        <w:tc>
          <w:tcPr>
            <w:tcW w:type="dxa" w:w="2059"/>
          </w:tcPr>
          <w:p>
            <w:pPr>
              <w:spacing w:before="20" w:after="20" w:line="254" w:lineRule="auto"/>
            </w:pPr>
          </w:p>
        </w:tc>
        <w:tc>
          <w:tcPr>
            <w:tcW w:type="dxa" w:w="4306"/>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r>
      <w:tr>
        <w:tc>
          <w:tcPr>
            <w:tcW w:type="dxa" w:w="749"/>
          </w:tcPr>
          <w:p>
            <w:pPr>
              <w:spacing w:before="20" w:after="20" w:line="254" w:lineRule="auto"/>
            </w:pPr>
          </w:p>
        </w:tc>
        <w:tc>
          <w:tcPr>
            <w:tcW w:type="dxa" w:w="2059"/>
          </w:tcPr>
          <w:p>
            <w:pPr>
              <w:spacing w:before="20" w:after="20" w:line="254" w:lineRule="auto"/>
            </w:pPr>
          </w:p>
        </w:tc>
        <w:tc>
          <w:tcPr>
            <w:tcW w:type="dxa" w:w="4306"/>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r>
      <w:tr>
        <w:tc>
          <w:tcPr>
            <w:tcW w:type="dxa" w:w="749"/>
          </w:tcPr>
          <w:p>
            <w:pPr>
              <w:spacing w:before="20" w:after="20" w:line="254" w:lineRule="auto"/>
            </w:pPr>
          </w:p>
        </w:tc>
        <w:tc>
          <w:tcPr>
            <w:tcW w:type="dxa" w:w="2059"/>
          </w:tcPr>
          <w:p>
            <w:pPr>
              <w:spacing w:before="20" w:after="20" w:line="254" w:lineRule="auto"/>
            </w:pPr>
          </w:p>
        </w:tc>
        <w:tc>
          <w:tcPr>
            <w:tcW w:type="dxa" w:w="4306"/>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r>
      <w:tr>
        <w:tc>
          <w:tcPr>
            <w:tcW w:type="dxa" w:w="749"/>
          </w:tcPr>
          <w:p>
            <w:pPr>
              <w:spacing w:before="20" w:after="20" w:line="254" w:lineRule="auto"/>
            </w:pPr>
          </w:p>
        </w:tc>
        <w:tc>
          <w:tcPr>
            <w:tcW w:type="dxa" w:w="2059"/>
          </w:tcPr>
          <w:p>
            <w:pPr>
              <w:spacing w:before="20" w:after="20" w:line="254" w:lineRule="auto"/>
            </w:pPr>
          </w:p>
        </w:tc>
        <w:tc>
          <w:tcPr>
            <w:tcW w:type="dxa" w:w="4306"/>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r>
      <w:tr>
        <w:tc>
          <w:tcPr>
            <w:tcW w:type="dxa" w:w="749"/>
          </w:tcPr>
          <w:p>
            <w:pPr>
              <w:spacing w:before="20" w:after="20" w:line="254" w:lineRule="auto"/>
            </w:pPr>
          </w:p>
        </w:tc>
        <w:tc>
          <w:tcPr>
            <w:tcW w:type="dxa" w:w="2059"/>
          </w:tcPr>
          <w:p>
            <w:pPr>
              <w:spacing w:before="20" w:after="20" w:line="254" w:lineRule="auto"/>
            </w:pPr>
          </w:p>
        </w:tc>
        <w:tc>
          <w:tcPr>
            <w:tcW w:type="dxa" w:w="4306"/>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r>
      <w:tr>
        <w:tc>
          <w:tcPr>
            <w:tcW w:type="dxa" w:w="749"/>
          </w:tcPr>
          <w:p>
            <w:pPr>
              <w:spacing w:before="20" w:after="20" w:line="254" w:lineRule="auto"/>
            </w:pPr>
          </w:p>
        </w:tc>
        <w:tc>
          <w:tcPr>
            <w:tcW w:type="dxa" w:w="2059"/>
          </w:tcPr>
          <w:p>
            <w:pPr>
              <w:spacing w:before="20" w:after="20" w:line="254" w:lineRule="auto"/>
            </w:pPr>
          </w:p>
        </w:tc>
        <w:tc>
          <w:tcPr>
            <w:tcW w:type="dxa" w:w="4306"/>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r>
      <w:tr>
        <w:tc>
          <w:tcPr>
            <w:tcW w:type="dxa" w:w="749"/>
          </w:tcPr>
          <w:p>
            <w:pPr>
              <w:spacing w:before="20" w:after="20" w:line="254" w:lineRule="auto"/>
            </w:pPr>
          </w:p>
        </w:tc>
        <w:tc>
          <w:tcPr>
            <w:tcW w:type="dxa" w:w="2059"/>
          </w:tcPr>
          <w:p>
            <w:pPr>
              <w:spacing w:before="20" w:after="20" w:line="254" w:lineRule="auto"/>
            </w:pPr>
          </w:p>
        </w:tc>
        <w:tc>
          <w:tcPr>
            <w:tcW w:type="dxa" w:w="4306"/>
          </w:tcPr>
          <w:p>
            <w:pPr>
              <w:spacing w:before="20" w:after="20" w:line="254" w:lineRule="auto"/>
            </w:pPr>
          </w:p>
        </w:tc>
        <w:tc>
          <w:tcPr>
            <w:tcW w:type="dxa" w:w="1123"/>
          </w:tcPr>
          <w:p>
            <w:pPr>
              <w:spacing w:before="20" w:after="20" w:line="254" w:lineRule="auto"/>
            </w:pPr>
          </w:p>
        </w:tc>
        <w:tc>
          <w:tcPr>
            <w:tcW w:type="dxa" w:w="1123"/>
          </w:tcPr>
          <w:p>
            <w:pPr>
              <w:spacing w:before="20" w:after="20" w:line="254" w:lineRule="auto"/>
            </w:pPr>
          </w:p>
        </w:tc>
      </w:tr>
    </w:tbl>
    <w:p>
      <w:pPr>
        <w:spacing w:after="40"/>
      </w:pPr>
    </w:p>
    <w:p>
      <w:r>
        <w:br w:type="page"/>
      </w:r>
    </w:p>
    <w:p>
      <w:pPr>
        <w:pStyle w:val="Heading1"/>
      </w:pPr>
      <w:r>
        <w:t>Instrument 3 — Pre-read cover sheet (one page)</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Product and event</w:t>
            </w:r>
          </w:p>
        </w:tc>
        <w:tc>
          <w:tcPr>
            <w:tcW w:type="dxa" w:w="3744"/>
          </w:tcPr>
          <w:p>
            <w:pPr>
              <w:spacing w:before="20" w:after="20" w:line="254" w:lineRule="auto"/>
            </w:pPr>
            <w:r>
              <w:rPr>
                <w:rFonts w:ascii="Carlito" w:hAnsi="Carlito"/>
                <w:b w:val="0"/>
                <w:i w:val="0"/>
                <w:sz w:val="19"/>
              </w:rPr>
              <w:t>Active moiety, formulation, route, indication; event as a clinical concept plus MedDRA terms and version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Data cut</w:t>
            </w:r>
          </w:p>
        </w:tc>
        <w:tc>
          <w:tcPr>
            <w:tcW w:type="dxa" w:w="3744"/>
          </w:tcPr>
          <w:p>
            <w:pPr>
              <w:spacing w:before="20" w:after="20" w:line="254" w:lineRule="auto"/>
            </w:pPr>
            <w:r>
              <w:rPr>
                <w:rFonts w:ascii="Carlito" w:hAnsi="Carlito"/>
                <w:b w:val="0"/>
                <w:i w:val="0"/>
                <w:sz w:val="19"/>
              </w:rPr>
              <w:t>Frozen date of every dataset used; state if sources have different cuts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Decision requested</w:t>
            </w:r>
          </w:p>
        </w:tc>
        <w:tc>
          <w:tcPr>
            <w:tcW w:type="dxa" w:w="3744"/>
          </w:tcPr>
          <w:p>
            <w:pPr>
              <w:spacing w:before="20" w:after="20" w:line="254" w:lineRule="auto"/>
            </w:pPr>
            <w:r>
              <w:rPr>
                <w:rFonts w:ascii="Carlito" w:hAnsi="Carlito"/>
                <w:b w:val="0"/>
                <w:i w:val="0"/>
                <w:sz w:val="19"/>
              </w:rPr>
              <w:t>The choice in one sentence, in process-step vocabulary</w:t>
            </w:r>
          </w:p>
          <w:p>
            <w:pPr>
              <w:spacing w:before="20" w:after="20" w:line="254" w:lineRule="auto"/>
            </w:pPr>
            <w:r>
              <w:rPr>
                <w:rFonts w:ascii="Carlito" w:hAnsi="Carlito"/>
                <w:b w:val="0"/>
                <w:i/>
                <w:color w:val="4A5B63"/>
                <w:sz w:val="17"/>
              </w:rPr>
              <w:t>Example: 'Validate or do not validate the agranulocytosis alert at the 30 June, Year 2 data cut.' Not: 'Velantor — agranulocytosis — for discussion.'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Assessment question</w:t>
            </w:r>
          </w:p>
        </w:tc>
        <w:tc>
          <w:tcPr>
            <w:tcW w:type="dxa" w:w="3744"/>
          </w:tcPr>
          <w:p>
            <w:pPr>
              <w:spacing w:before="20" w:after="20" w:line="254" w:lineRule="auto"/>
            </w:pPr>
            <w:r>
              <w:rPr>
                <w:rFonts w:ascii="Carlito" w:hAnsi="Carlito"/>
                <w:b w:val="0"/>
                <w:i w:val="0"/>
                <w:sz w:val="19"/>
              </w:rPr>
              <w:t>Population, exposure, outcome definition, time window, comparator if any</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Key findings</w:t>
            </w:r>
          </w:p>
        </w:tc>
        <w:tc>
          <w:tcPr>
            <w:tcW w:type="dxa" w:w="3744"/>
          </w:tcPr>
          <w:p>
            <w:pPr>
              <w:spacing w:before="20" w:after="20" w:line="254" w:lineRule="auto"/>
            </w:pPr>
            <w:r>
              <w:rPr>
                <w:rFonts w:ascii="Carlito" w:hAnsi="Carlito"/>
                <w:b w:val="0"/>
                <w:i w:val="0"/>
                <w:sz w:val="19"/>
              </w:rPr>
              <w:t>Counts at each selection step; clinical pattern; external evidence; exposure. Disproportionality stated with its limits</w:t>
            </w:r>
          </w:p>
          <w:p>
            <w:pPr>
              <w:spacing w:before="20" w:after="20" w:line="254" w:lineRule="auto"/>
            </w:pPr>
            <w:r>
              <w:rPr>
                <w:rFonts w:ascii="Carlito" w:hAnsi="Carlito"/>
                <w:b w:val="0"/>
                <w:i/>
                <w:color w:val="4A5B63"/>
                <w:sz w:val="17"/>
              </w:rPr>
              <w:t>Give the count at each step, not the final number alone. State that disproportionality measures reporting, not risk.</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Limitations</w:t>
            </w:r>
          </w:p>
        </w:tc>
        <w:tc>
          <w:tcPr>
            <w:tcW w:type="dxa" w:w="3744"/>
          </w:tcPr>
          <w:p>
            <w:pPr>
              <w:spacing w:before="20" w:after="20" w:line="254" w:lineRule="auto"/>
            </w:pPr>
            <w:r>
              <w:rPr>
                <w:rFonts w:ascii="Carlito" w:hAnsi="Carlito"/>
                <w:b w:val="0"/>
                <w:i w:val="0"/>
                <w:sz w:val="19"/>
              </w:rPr>
              <w:t>Missing data, non-assessable cases, denominator weaknesses, power</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Decision options</w:t>
            </w:r>
          </w:p>
        </w:tc>
        <w:tc>
          <w:tcPr>
            <w:tcW w:type="dxa" w:w="3744"/>
          </w:tcPr>
          <w:p>
            <w:pPr>
              <w:spacing w:before="20" w:after="20" w:line="254" w:lineRule="auto"/>
            </w:pPr>
            <w:r>
              <w:rPr>
                <w:rFonts w:ascii="Carlito" w:hAnsi="Carlito"/>
                <w:b w:val="0"/>
                <w:i w:val="0"/>
                <w:sz w:val="19"/>
              </w:rPr>
              <w:t>At least two, stated as the committee could adopt them</w:t>
            </w:r>
          </w:p>
          <w:p>
            <w:pPr>
              <w:spacing w:before="20" w:after="20" w:line="254" w:lineRule="auto"/>
            </w:pPr>
            <w:r>
              <w:rPr>
                <w:rFonts w:ascii="Carlito" w:hAnsi="Carlito"/>
                <w:b w:val="0"/>
                <w:i/>
                <w:color w:val="4A5B63"/>
                <w:sz w:val="17"/>
              </w:rPr>
              <w:t>Required field. A committee presented with a single proposal tends to ratify it; naming the alternatives is what converts ratification into a choice.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Recommendation</w:t>
            </w:r>
          </w:p>
        </w:tc>
        <w:tc>
          <w:tcPr>
            <w:tcW w:type="dxa" w:w="3744"/>
          </w:tcPr>
          <w:p>
            <w:pPr>
              <w:spacing w:before="20" w:after="20" w:line="254" w:lineRule="auto"/>
            </w:pPr>
            <w:r>
              <w:rPr>
                <w:rFonts w:ascii="Carlito" w:hAnsi="Carlito"/>
                <w:b w:val="0"/>
                <w:i w:val="0"/>
                <w:sz w:val="19"/>
              </w:rPr>
              <w:t>Which option, and the criteria that support it</w:t>
            </w:r>
          </w:p>
          <w:p>
            <w:pPr>
              <w:spacing w:before="20" w:after="20" w:line="254" w:lineRule="auto"/>
            </w:pPr>
            <w:r>
              <w:rPr>
                <w:rFonts w:ascii="Carlito" w:hAnsi="Carlito"/>
                <w:b w:val="0"/>
                <w:i/>
                <w:color w:val="4A5B63"/>
                <w:sz w:val="17"/>
              </w:rPr>
              <w:t>Separate from the options field, deliberately.</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Priority proposal</w:t>
            </w:r>
          </w:p>
        </w:tc>
        <w:tc>
          <w:tcPr>
            <w:tcW w:type="dxa" w:w="3744"/>
          </w:tcPr>
          <w:p>
            <w:pPr>
              <w:spacing w:before="20" w:after="20" w:line="254" w:lineRule="auto"/>
            </w:pPr>
            <w:r>
              <w:rPr>
                <w:rFonts w:ascii="Carlito" w:hAnsi="Carlito"/>
                <w:b w:val="0"/>
                <w:i w:val="0"/>
                <w:sz w:val="19"/>
              </w:rPr>
              <w:t>Score or category, with the method named and flagged as a company design</w:t>
            </w:r>
          </w:p>
          <w:p>
            <w:pPr>
              <w:spacing w:before="20" w:after="20" w:line="254" w:lineRule="auto"/>
            </w:pPr>
            <w:r>
              <w:rPr>
                <w:rFonts w:ascii="Carlito" w:hAnsi="Carlito"/>
                <w:b w:val="0"/>
                <w:i/>
                <w:color w:val="4A5B63"/>
                <w:sz w:val="17"/>
              </w:rPr>
              <w:t>Cross-reference T-06.</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Evidence plan</w:t>
            </w:r>
          </w:p>
        </w:tc>
        <w:tc>
          <w:tcPr>
            <w:tcW w:type="dxa" w:w="3744"/>
          </w:tcPr>
          <w:p>
            <w:pPr>
              <w:spacing w:before="20" w:after="20" w:line="254" w:lineRule="auto"/>
            </w:pPr>
            <w:r>
              <w:rPr>
                <w:rFonts w:ascii="Carlito" w:hAnsi="Carlito"/>
                <w:b w:val="0"/>
                <w:i w:val="0"/>
                <w:sz w:val="19"/>
              </w:rPr>
              <w:t>Numbered actions, each with an owner and a due date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Next review</w:t>
            </w:r>
          </w:p>
        </w:tc>
        <w:tc>
          <w:tcPr>
            <w:tcW w:type="dxa" w:w="3744"/>
          </w:tcPr>
          <w:p>
            <w:pPr>
              <w:spacing w:before="20" w:after="20" w:line="254" w:lineRule="auto"/>
            </w:pPr>
            <w:r>
              <w:rPr>
                <w:rFonts w:ascii="Carlito" w:hAnsi="Carlito"/>
                <w:b w:val="0"/>
                <w:i w:val="0"/>
                <w:sz w:val="19"/>
              </w:rPr>
              <w:t>Date, plus interim escalation triggers</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Notification</w:t>
            </w:r>
          </w:p>
        </w:tc>
        <w:tc>
          <w:tcPr>
            <w:tcW w:type="dxa" w:w="3744"/>
          </w:tcPr>
          <w:p>
            <w:pPr>
              <w:spacing w:before="20" w:after="20" w:line="254" w:lineRule="auto"/>
            </w:pPr>
            <w:r>
              <w:rPr>
                <w:rFonts w:ascii="Carlito" w:hAnsi="Carlito"/>
                <w:b w:val="0"/>
                <w:i w:val="0"/>
                <w:sz w:val="19"/>
              </w:rPr>
              <w:t>Whether an obligation may be triggered, in which regions, and who resolves it</w:t>
            </w:r>
          </w:p>
          <w:p>
            <w:pPr>
              <w:spacing w:before="20" w:after="20" w:line="254" w:lineRule="auto"/>
            </w:pPr>
            <w:r>
              <w:rPr>
                <w:rFonts w:ascii="Carlito" w:hAnsi="Carlito"/>
                <w:b w:val="0"/>
                <w:i/>
                <w:color w:val="4A5B63"/>
                <w:sz w:val="17"/>
              </w:rPr>
              <w:t>Include the 3-working-day emerging safety issue route. Note that MAHs no longer notify validated signals to EMA and the NCAs: Article 21(2) of CIR (EU) No 520/2012 was deleted by CIR (EU) 2025/1466, in force 12 August 2025.</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Prepared by / medical review</w:t>
            </w:r>
          </w:p>
        </w:tc>
        <w:tc>
          <w:tcPr>
            <w:tcW w:type="dxa" w:w="3744"/>
          </w:tcPr>
          <w:p>
            <w:pPr>
              <w:spacing w:before="20" w:after="20" w:line="254" w:lineRule="auto"/>
            </w:pPr>
            <w:r>
              <w:rPr>
                <w:rFonts w:ascii="Carlito" w:hAnsi="Carlito"/>
                <w:b w:val="0"/>
                <w:i w:val="0"/>
                <w:sz w:val="19"/>
              </w:rPr>
              <w:t>Names, roles, dates</w:t>
            </w:r>
          </w:p>
        </w:tc>
        <w:tc>
          <w:tcPr>
            <w:tcW w:type="dxa" w:w="3557"/>
          </w:tcPr>
          <w:p>
            <w:pPr>
              <w:spacing w:before="20" w:after="20" w:line="254" w:lineRule="auto"/>
            </w:pPr>
          </w:p>
        </w:tc>
      </w:tr>
    </w:tbl>
    <w:p>
      <w:pPr>
        <w:spacing w:after="40"/>
      </w:pPr>
    </w:p>
    <w:p>
      <w:r>
        <w:br w:type="page"/>
      </w:r>
    </w:p>
    <w:p>
      <w:pPr>
        <w:pStyle w:val="Heading1"/>
      </w:pPr>
      <w:r>
        <w:t>Instrument 4 — Minutes</w:t>
      </w:r>
    </w:p>
    <w:tbl>
      <w:tblPr>
        <w:tblStyle w:val="ToolkitTable"/>
        <w:tblW w:type="auto" w:w="0"/>
        <w:jc w:val="left"/>
        <w:tblLayout w:type="fixed"/>
        <w:tblLook w:val="04A0" w:firstRow="1" w:lastRow="0" w:firstColumn="0" w:lastColumn="0" w:noHBand="0" w:noVBand="1"/>
      </w:tblPr>
      <w:tblGrid>
        <w:gridCol w:w="1685"/>
        <w:gridCol w:w="5054"/>
        <w:gridCol w:w="2621"/>
      </w:tblGrid>
      <w:tr>
        <w:trPr>
          <w:tblHeader/>
        </w:trPr>
        <w:tc>
          <w:tcPr>
            <w:tcW w:type="dxa" w:w="1685"/>
          </w:tcPr>
          <w:p>
            <w:pPr>
              <w:spacing w:before="20" w:after="20" w:line="254" w:lineRule="auto"/>
            </w:pPr>
            <w:r>
              <w:rPr>
                <w:rFonts w:ascii="Carlito" w:hAnsi="Carlito"/>
                <w:b/>
                <w:i w:val="0"/>
                <w:color w:val="FFFFFF"/>
                <w:sz w:val="19"/>
              </w:rPr>
              <w:t>Section</w:t>
            </w:r>
          </w:p>
        </w:tc>
        <w:tc>
          <w:tcPr>
            <w:tcW w:type="dxa" w:w="5054"/>
          </w:tcPr>
          <w:p>
            <w:pPr>
              <w:spacing w:before="20" w:after="20" w:line="254" w:lineRule="auto"/>
            </w:pPr>
            <w:r>
              <w:rPr>
                <w:rFonts w:ascii="Carlito" w:hAnsi="Carlito"/>
                <w:b/>
                <w:i w:val="0"/>
                <w:color w:val="FFFFFF"/>
                <w:sz w:val="19"/>
              </w:rPr>
              <w:t>Required content</w:t>
            </w:r>
          </w:p>
        </w:tc>
        <w:tc>
          <w:tcPr>
            <w:tcW w:type="dxa" w:w="2621"/>
          </w:tcPr>
          <w:p>
            <w:pPr>
              <w:spacing w:before="20" w:after="20" w:line="254" w:lineRule="auto"/>
            </w:pPr>
            <w:r>
              <w:rPr>
                <w:rFonts w:ascii="Carlito" w:hAnsi="Carlito"/>
                <w:b/>
                <w:i w:val="0"/>
                <w:color w:val="FFFFFF"/>
                <w:sz w:val="19"/>
              </w:rPr>
              <w:t>Entry</w:t>
            </w:r>
          </w:p>
        </w:tc>
      </w:tr>
      <w:tr>
        <w:tc>
          <w:tcPr>
            <w:tcW w:type="dxa" w:w="1685"/>
          </w:tcPr>
          <w:p>
            <w:pPr>
              <w:spacing w:before="20" w:after="20" w:line="254" w:lineRule="auto"/>
            </w:pPr>
            <w:r>
              <w:rPr>
                <w:rFonts w:ascii="Carlito" w:hAnsi="Carlito"/>
                <w:b w:val="0"/>
                <w:i w:val="0"/>
                <w:sz w:val="19"/>
              </w:rPr>
              <w:t>Header</w:t>
            </w:r>
          </w:p>
        </w:tc>
        <w:tc>
          <w:tcPr>
            <w:tcW w:type="dxa" w:w="5054"/>
          </w:tcPr>
          <w:p>
            <w:pPr>
              <w:spacing w:before="20" w:after="20" w:line="254" w:lineRule="auto"/>
            </w:pPr>
            <w:r>
              <w:rPr>
                <w:rFonts w:ascii="Carlito" w:hAnsi="Carlito"/>
                <w:b w:val="0"/>
                <w:i w:val="0"/>
                <w:sz w:val="19"/>
              </w:rPr>
              <w:t>Date, time, routine or ad hoc, chair, attendees with roles, apologies, quorum confirmed</w:t>
            </w:r>
          </w:p>
        </w:tc>
        <w:tc>
          <w:tcPr>
            <w:tcW w:type="dxa" w:w="2621"/>
          </w:tcPr>
          <w:p>
            <w:pPr>
              <w:spacing w:before="20" w:after="20" w:line="254" w:lineRule="auto"/>
            </w:pPr>
          </w:p>
        </w:tc>
      </w:tr>
      <w:tr>
        <w:tc>
          <w:tcPr>
            <w:tcW w:type="dxa" w:w="1685"/>
          </w:tcPr>
          <w:p>
            <w:pPr>
              <w:spacing w:before="20" w:after="20" w:line="254" w:lineRule="auto"/>
            </w:pPr>
            <w:r>
              <w:rPr>
                <w:rFonts w:ascii="Carlito" w:hAnsi="Carlito"/>
                <w:b w:val="0"/>
                <w:i w:val="0"/>
                <w:sz w:val="19"/>
              </w:rPr>
              <w:t>Conflicts</w:t>
            </w:r>
          </w:p>
        </w:tc>
        <w:tc>
          <w:tcPr>
            <w:tcW w:type="dxa" w:w="5054"/>
          </w:tcPr>
          <w:p>
            <w:pPr>
              <w:spacing w:before="20" w:after="20" w:line="254" w:lineRule="auto"/>
            </w:pPr>
            <w:r>
              <w:rPr>
                <w:rFonts w:ascii="Carlito" w:hAnsi="Carlito"/>
                <w:b w:val="0"/>
                <w:i w:val="0"/>
                <w:sz w:val="19"/>
              </w:rPr>
              <w:t>Declarations against today's agenda; recusals and the items affected</w:t>
            </w:r>
          </w:p>
        </w:tc>
        <w:tc>
          <w:tcPr>
            <w:tcW w:type="dxa" w:w="2621"/>
          </w:tcPr>
          <w:p>
            <w:pPr>
              <w:spacing w:before="20" w:after="20" w:line="254" w:lineRule="auto"/>
            </w:pPr>
          </w:p>
        </w:tc>
      </w:tr>
      <w:tr>
        <w:tc>
          <w:tcPr>
            <w:tcW w:type="dxa" w:w="1685"/>
          </w:tcPr>
          <w:p>
            <w:pPr>
              <w:spacing w:before="20" w:after="20" w:line="254" w:lineRule="auto"/>
            </w:pPr>
            <w:r>
              <w:rPr>
                <w:rFonts w:ascii="Carlito" w:hAnsi="Carlito"/>
                <w:b w:val="0"/>
                <w:i w:val="0"/>
                <w:sz w:val="19"/>
              </w:rPr>
              <w:t>Prior minutes and actions</w:t>
            </w:r>
          </w:p>
        </w:tc>
        <w:tc>
          <w:tcPr>
            <w:tcW w:type="dxa" w:w="5054"/>
          </w:tcPr>
          <w:p>
            <w:pPr>
              <w:spacing w:before="20" w:after="20" w:line="254" w:lineRule="auto"/>
            </w:pPr>
            <w:r>
              <w:rPr>
                <w:rFonts w:ascii="Carlito" w:hAnsi="Carlito"/>
                <w:b w:val="0"/>
                <w:i w:val="0"/>
                <w:sz w:val="19"/>
              </w:rPr>
              <w:t>Approval; overdue actions with revised dates or escalation</w:t>
            </w:r>
          </w:p>
        </w:tc>
        <w:tc>
          <w:tcPr>
            <w:tcW w:type="dxa" w:w="2621"/>
          </w:tcPr>
          <w:p>
            <w:pPr>
              <w:spacing w:before="20" w:after="20" w:line="254" w:lineRule="auto"/>
            </w:pPr>
          </w:p>
        </w:tc>
      </w:tr>
      <w:tr>
        <w:tc>
          <w:tcPr>
            <w:tcW w:type="dxa" w:w="1685"/>
          </w:tcPr>
          <w:p>
            <w:pPr>
              <w:spacing w:before="20" w:after="20" w:line="254" w:lineRule="auto"/>
            </w:pPr>
            <w:r>
              <w:rPr>
                <w:rFonts w:ascii="Carlito" w:hAnsi="Carlito"/>
                <w:b w:val="0"/>
                <w:i w:val="0"/>
                <w:sz w:val="19"/>
              </w:rPr>
              <w:t>Item record (per substantive item)</w:t>
            </w:r>
          </w:p>
        </w:tc>
        <w:tc>
          <w:tcPr>
            <w:tcW w:type="dxa" w:w="5054"/>
          </w:tcPr>
          <w:p>
            <w:pPr>
              <w:spacing w:before="20" w:after="20" w:line="254" w:lineRule="auto"/>
            </w:pPr>
            <w:r>
              <w:rPr>
                <w:rFonts w:ascii="Carlito" w:hAnsi="Carlito"/>
                <w:b w:val="0"/>
                <w:i w:val="0"/>
                <w:sz w:val="19"/>
              </w:rPr>
              <w:t>Decision requested; evidence considered with data cuts and document versions; conclusion; rationale; alternatives rejected and why; dissent; actions with owners and dates; notification decision</w:t>
            </w:r>
          </w:p>
          <w:p>
            <w:pPr>
              <w:spacing w:before="20" w:after="20" w:line="254" w:lineRule="auto"/>
            </w:pPr>
            <w:r>
              <w:rPr>
                <w:rFonts w:ascii="Carlito" w:hAnsi="Carlito"/>
                <w:b w:val="0"/>
                <w:i/>
                <w:color w:val="4A5B63"/>
                <w:sz w:val="17"/>
              </w:rPr>
              <w:t>The rationale field must contain reasoning, not a vote count. 'The committee agreed no further action' records an outcome and explains nothing.</w:t>
            </w:r>
          </w:p>
        </w:tc>
        <w:tc>
          <w:tcPr>
            <w:tcW w:type="dxa" w:w="2621"/>
          </w:tcPr>
          <w:p>
            <w:pPr>
              <w:spacing w:before="20" w:after="20" w:line="254" w:lineRule="auto"/>
            </w:pPr>
          </w:p>
        </w:tc>
      </w:tr>
      <w:tr>
        <w:tc>
          <w:tcPr>
            <w:tcW w:type="dxa" w:w="1685"/>
          </w:tcPr>
          <w:p>
            <w:pPr>
              <w:spacing w:before="20" w:after="20" w:line="254" w:lineRule="auto"/>
            </w:pPr>
            <w:r>
              <w:rPr>
                <w:rFonts w:ascii="Carlito" w:hAnsi="Carlito"/>
                <w:b w:val="0"/>
                <w:i w:val="0"/>
                <w:sz w:val="19"/>
              </w:rPr>
              <w:t>Triage record</w:t>
            </w:r>
          </w:p>
        </w:tc>
        <w:tc>
          <w:tcPr>
            <w:tcW w:type="dxa" w:w="5054"/>
          </w:tcPr>
          <w:p>
            <w:pPr>
              <w:spacing w:before="20" w:after="20" w:line="254" w:lineRule="auto"/>
            </w:pPr>
            <w:r>
              <w:rPr>
                <w:rFonts w:ascii="Carlito" w:hAnsi="Carlito"/>
                <w:b w:val="0"/>
                <w:i w:val="0"/>
                <w:sz w:val="19"/>
              </w:rPr>
              <w:t>One line per alert: identifier, disposition, owner where assigned</w:t>
            </w:r>
          </w:p>
        </w:tc>
        <w:tc>
          <w:tcPr>
            <w:tcW w:type="dxa" w:w="2621"/>
          </w:tcPr>
          <w:p>
            <w:pPr>
              <w:spacing w:before="20" w:after="20" w:line="254" w:lineRule="auto"/>
            </w:pPr>
          </w:p>
        </w:tc>
      </w:tr>
      <w:tr>
        <w:tc>
          <w:tcPr>
            <w:tcW w:type="dxa" w:w="1685"/>
          </w:tcPr>
          <w:p>
            <w:pPr>
              <w:spacing w:before="20" w:after="20" w:line="254" w:lineRule="auto"/>
            </w:pPr>
            <w:r>
              <w:rPr>
                <w:rFonts w:ascii="Carlito" w:hAnsi="Carlito"/>
                <w:b w:val="0"/>
                <w:i w:val="0"/>
                <w:sz w:val="19"/>
              </w:rPr>
              <w:t>Escalations</w:t>
            </w:r>
          </w:p>
        </w:tc>
        <w:tc>
          <w:tcPr>
            <w:tcW w:type="dxa" w:w="5054"/>
          </w:tcPr>
          <w:p>
            <w:pPr>
              <w:spacing w:before="20" w:after="20" w:line="254" w:lineRule="auto"/>
            </w:pPr>
            <w:r>
              <w:rPr>
                <w:rFonts w:ascii="Carlito" w:hAnsi="Carlito"/>
                <w:b w:val="0"/>
                <w:i w:val="0"/>
                <w:sz w:val="19"/>
              </w:rPr>
              <w:t>Item, reason, body escalated to, date, who informed</w:t>
            </w:r>
          </w:p>
        </w:tc>
        <w:tc>
          <w:tcPr>
            <w:tcW w:type="dxa" w:w="2621"/>
          </w:tcPr>
          <w:p>
            <w:pPr>
              <w:spacing w:before="20" w:after="20" w:line="254" w:lineRule="auto"/>
            </w:pPr>
          </w:p>
        </w:tc>
      </w:tr>
      <w:tr>
        <w:tc>
          <w:tcPr>
            <w:tcW w:type="dxa" w:w="1685"/>
          </w:tcPr>
          <w:p>
            <w:pPr>
              <w:spacing w:before="20" w:after="20" w:line="254" w:lineRule="auto"/>
            </w:pPr>
            <w:r>
              <w:rPr>
                <w:rFonts w:ascii="Carlito" w:hAnsi="Carlito"/>
                <w:b w:val="0"/>
                <w:i w:val="0"/>
                <w:sz w:val="19"/>
              </w:rPr>
              <w:t>Close</w:t>
            </w:r>
          </w:p>
        </w:tc>
        <w:tc>
          <w:tcPr>
            <w:tcW w:type="dxa" w:w="5054"/>
          </w:tcPr>
          <w:p>
            <w:pPr>
              <w:spacing w:before="20" w:after="20" w:line="254" w:lineRule="auto"/>
            </w:pPr>
            <w:r>
              <w:rPr>
                <w:rFonts w:ascii="Carlito" w:hAnsi="Carlito"/>
                <w:b w:val="0"/>
                <w:i w:val="0"/>
                <w:sz w:val="19"/>
              </w:rPr>
              <w:t>Decisions read back and confirmed; next meeting; pre-read deadline</w:t>
            </w:r>
          </w:p>
        </w:tc>
        <w:tc>
          <w:tcPr>
            <w:tcW w:type="dxa" w:w="2621"/>
          </w:tcPr>
          <w:p>
            <w:pPr>
              <w:spacing w:before="20" w:after="20" w:line="254" w:lineRule="auto"/>
            </w:pPr>
          </w:p>
        </w:tc>
      </w:tr>
      <w:tr>
        <w:tc>
          <w:tcPr>
            <w:tcW w:type="dxa" w:w="1685"/>
          </w:tcPr>
          <w:p>
            <w:pPr>
              <w:spacing w:before="20" w:after="20" w:line="254" w:lineRule="auto"/>
            </w:pPr>
            <w:r>
              <w:rPr>
                <w:rFonts w:ascii="Carlito" w:hAnsi="Carlito"/>
                <w:b w:val="0"/>
                <w:i w:val="0"/>
                <w:sz w:val="19"/>
              </w:rPr>
              <w:t>Approval</w:t>
            </w:r>
          </w:p>
        </w:tc>
        <w:tc>
          <w:tcPr>
            <w:tcW w:type="dxa" w:w="5054"/>
          </w:tcPr>
          <w:p>
            <w:pPr>
              <w:spacing w:before="20" w:after="20" w:line="254" w:lineRule="auto"/>
            </w:pPr>
            <w:r>
              <w:rPr>
                <w:rFonts w:ascii="Carlito" w:hAnsi="Carlito"/>
                <w:b w:val="0"/>
                <w:i w:val="0"/>
                <w:sz w:val="19"/>
              </w:rPr>
              <w:t>Drafted by, date; approved by chair, date; system of record location</w:t>
            </w:r>
          </w:p>
        </w:tc>
        <w:tc>
          <w:tcPr>
            <w:tcW w:type="dxa" w:w="2621"/>
          </w:tcPr>
          <w:p>
            <w:pPr>
              <w:spacing w:before="20" w:after="20" w:line="254" w:lineRule="auto"/>
            </w:pPr>
          </w:p>
        </w:tc>
      </w:tr>
    </w:tbl>
    <w:p>
      <w:pPr>
        <w:spacing w:after="40"/>
      </w:pPr>
    </w:p>
    <w:p>
      <w:pPr>
        <w:pStyle w:val="Heading2"/>
      </w:pPr>
      <w:r>
        <w:t>Item record — copy per substantive item</w:t>
      </w:r>
    </w:p>
    <w:tbl>
      <w:tblPr>
        <w:tblStyle w:val="ToolkitTable"/>
        <w:tblW w:type="auto" w:w="0"/>
        <w:jc w:val="left"/>
        <w:tblLayout w:type="fixed"/>
        <w:tblLook w:val="04A0" w:firstRow="1" w:lastRow="0" w:firstColumn="0" w:lastColumn="0" w:noHBand="0" w:noVBand="1"/>
      </w:tblPr>
      <w:tblGrid>
        <w:gridCol w:w="2059"/>
        <w:gridCol w:w="3744"/>
        <w:gridCol w:w="3557"/>
      </w:tblGrid>
      <w:tr>
        <w:trPr>
          <w:tblHeader/>
        </w:trPr>
        <w:tc>
          <w:tcPr>
            <w:tcW w:type="dxa" w:w="2059"/>
          </w:tcPr>
          <w:p>
            <w:pPr>
              <w:spacing w:before="20" w:after="20" w:line="254" w:lineRule="auto"/>
            </w:pPr>
            <w:r>
              <w:rPr>
                <w:rFonts w:ascii="Carlito" w:hAnsi="Carlito"/>
                <w:b/>
                <w:i w:val="0"/>
                <w:color w:val="FFFFFF"/>
                <w:sz w:val="19"/>
              </w:rPr>
              <w:t>Field</w:t>
            </w:r>
          </w:p>
        </w:tc>
        <w:tc>
          <w:tcPr>
            <w:tcW w:type="dxa" w:w="3744"/>
          </w:tcPr>
          <w:p>
            <w:pPr>
              <w:spacing w:before="20" w:after="20" w:line="254" w:lineRule="auto"/>
            </w:pPr>
            <w:r>
              <w:rPr>
                <w:rFonts w:ascii="Carlito" w:hAnsi="Carlito"/>
                <w:b/>
                <w:i w:val="0"/>
                <w:color w:val="FFFFFF"/>
                <w:sz w:val="19"/>
              </w:rPr>
              <w:t>What to record — and what a good entry looks like</w:t>
            </w:r>
          </w:p>
        </w:tc>
        <w:tc>
          <w:tcPr>
            <w:tcW w:type="dxa" w:w="3557"/>
          </w:tcPr>
          <w:p>
            <w:pPr>
              <w:spacing w:before="20" w:after="20" w:line="254" w:lineRule="auto"/>
            </w:pPr>
            <w:r>
              <w:rPr>
                <w:rFonts w:ascii="Carlito" w:hAnsi="Carlito"/>
                <w:b/>
                <w:i w:val="0"/>
                <w:color w:val="FFFFFF"/>
                <w:sz w:val="19"/>
              </w:rPr>
              <w:t>Your entry</w:t>
            </w:r>
          </w:p>
        </w:tc>
      </w:tr>
      <w:tr>
        <w:tc>
          <w:tcPr>
            <w:tcW w:type="dxa" w:w="2059"/>
          </w:tcPr>
          <w:p>
            <w:pPr>
              <w:spacing w:before="20" w:after="20" w:line="254" w:lineRule="auto"/>
            </w:pPr>
            <w:r>
              <w:rPr>
                <w:rFonts w:ascii="Carlito" w:hAnsi="Carlito"/>
                <w:b w:val="0"/>
                <w:i w:val="0"/>
                <w:sz w:val="19"/>
              </w:rPr>
              <w:t>Item and decision requested</w:t>
            </w:r>
          </w:p>
        </w:tc>
        <w:tc>
          <w:tcPr>
            <w:tcW w:type="dxa" w:w="3744"/>
          </w:tcPr>
          <w:p>
            <w:pPr>
              <w:spacing w:before="20" w:after="20" w:line="254" w:lineRule="auto"/>
            </w:pPr>
            <w:r>
              <w:rPr>
                <w:rFonts w:ascii="Carlito" w:hAnsi="Carlito"/>
                <w:b w:val="0"/>
                <w:i w:val="0"/>
                <w:sz w:val="19"/>
              </w:rPr>
              <w:t>As read aloud at the opening of the item</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Evidence considered</w:t>
            </w:r>
          </w:p>
        </w:tc>
        <w:tc>
          <w:tcPr>
            <w:tcW w:type="dxa" w:w="3744"/>
          </w:tcPr>
          <w:p>
            <w:pPr>
              <w:spacing w:before="20" w:after="20" w:line="254" w:lineRule="auto"/>
            </w:pPr>
            <w:r>
              <w:rPr>
                <w:rFonts w:ascii="Carlito" w:hAnsi="Carlito"/>
                <w:b w:val="0"/>
                <w:i w:val="0"/>
                <w:sz w:val="19"/>
              </w:rPr>
              <w:t>Each document with its version and data cut</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Conclusion</w:t>
            </w:r>
          </w:p>
        </w:tc>
        <w:tc>
          <w:tcPr>
            <w:tcW w:type="dxa" w:w="3744"/>
          </w:tcPr>
          <w:p>
            <w:pPr>
              <w:spacing w:before="20" w:after="20" w:line="254" w:lineRule="auto"/>
            </w:pPr>
            <w:r>
              <w:rPr>
                <w:rFonts w:ascii="Carlito" w:hAnsi="Carlito"/>
                <w:b w:val="0"/>
                <w:i w:val="0"/>
                <w:sz w:val="19"/>
              </w:rPr>
              <w:t>In process-step vocabulary</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Rationale</w:t>
            </w:r>
          </w:p>
        </w:tc>
        <w:tc>
          <w:tcPr>
            <w:tcW w:type="dxa" w:w="3744"/>
          </w:tcPr>
          <w:p>
            <w:pPr>
              <w:spacing w:before="20" w:after="20" w:line="254" w:lineRule="auto"/>
            </w:pPr>
            <w:r>
              <w:rPr>
                <w:rFonts w:ascii="Carlito" w:hAnsi="Carlito"/>
                <w:b w:val="0"/>
                <w:i w:val="0"/>
                <w:sz w:val="19"/>
              </w:rPr>
              <w:t>The reasoning, not the vote</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Alternatives rejected, and why</w:t>
            </w:r>
          </w:p>
        </w:tc>
        <w:tc>
          <w:tcPr>
            <w:tcW w:type="dxa" w:w="3744"/>
          </w:tcPr>
          <w:p>
            <w:pPr>
              <w:spacing w:before="20" w:after="20" w:line="254" w:lineRule="auto"/>
            </w:pPr>
            <w:r>
              <w:rPr>
                <w:rFonts w:ascii="Carlito" w:hAnsi="Carlito"/>
                <w:b w:val="0"/>
                <w:i w:val="0"/>
                <w:sz w:val="19"/>
              </w:rPr>
              <w:t>Each option from the pre-read that was not adopted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Dissent</w:t>
            </w:r>
          </w:p>
        </w:tc>
        <w:tc>
          <w:tcPr>
            <w:tcW w:type="dxa" w:w="3744"/>
          </w:tcPr>
          <w:p>
            <w:pPr>
              <w:spacing w:before="20" w:after="20" w:line="254" w:lineRule="auto"/>
            </w:pPr>
            <w:r>
              <w:rPr>
                <w:rFonts w:ascii="Carlito" w:hAnsi="Carlito"/>
                <w:b w:val="0"/>
                <w:i w:val="0"/>
                <w:sz w:val="19"/>
              </w:rPr>
              <w:t>Member, point, grounds, and the condition that would change the position; or 'none recorded'</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Actions</w:t>
            </w:r>
          </w:p>
        </w:tc>
        <w:tc>
          <w:tcPr>
            <w:tcW w:type="dxa" w:w="3744"/>
          </w:tcPr>
          <w:p>
            <w:pPr>
              <w:spacing w:before="20" w:after="20" w:line="254" w:lineRule="auto"/>
            </w:pPr>
            <w:r>
              <w:rPr>
                <w:rFonts w:ascii="Carlito" w:hAnsi="Carlito"/>
                <w:b w:val="0"/>
                <w:i w:val="0"/>
                <w:sz w:val="19"/>
              </w:rPr>
              <w:t>One line per action: deliverable, named owner, due date</w:t>
            </w:r>
          </w:p>
          <w:p>
            <w:pPr>
              <w:spacing w:before="20" w:after="20" w:line="254" w:lineRule="auto"/>
            </w:pPr>
            <w:r>
              <w:rPr>
                <w:rFonts w:ascii="Carlito" w:hAnsi="Carlito"/>
                <w:b w:val="0"/>
                <w:i/>
                <w:color w:val="4A5B63"/>
                <w:sz w:val="17"/>
              </w:rPr>
              <w:t>A named person, not a function.</w:t>
            </w:r>
          </w:p>
        </w:tc>
        <w:tc>
          <w:tcPr>
            <w:tcW w:type="dxa" w:w="3557"/>
          </w:tcPr>
          <w:p>
            <w:pPr>
              <w:spacing w:before="20" w:after="20" w:line="254" w:lineRule="auto"/>
            </w:pPr>
          </w:p>
        </w:tc>
      </w:tr>
      <w:tr>
        <w:tc>
          <w:tcPr>
            <w:tcW w:type="dxa" w:w="2059"/>
          </w:tcPr>
          <w:p>
            <w:pPr>
              <w:spacing w:before="20" w:after="20" w:line="254" w:lineRule="auto"/>
            </w:pPr>
            <w:r>
              <w:rPr>
                <w:rFonts w:ascii="Carlito" w:hAnsi="Carlito"/>
                <w:b w:val="0"/>
                <w:i w:val="0"/>
                <w:sz w:val="19"/>
              </w:rPr>
              <w:t>Notification decision</w:t>
            </w:r>
          </w:p>
        </w:tc>
        <w:tc>
          <w:tcPr>
            <w:tcW w:type="dxa" w:w="3744"/>
          </w:tcPr>
          <w:p>
            <w:pPr>
              <w:spacing w:before="20" w:after="20" w:line="254" w:lineRule="auto"/>
            </w:pPr>
            <w:r>
              <w:rPr>
                <w:rFonts w:ascii="Carlito" w:hAnsi="Carlito"/>
                <w:b w:val="0"/>
                <w:i w:val="0"/>
                <w:sz w:val="19"/>
              </w:rPr>
              <w:t>Obligation assessed yes/no, with the owner</w:t>
            </w:r>
          </w:p>
        </w:tc>
        <w:tc>
          <w:tcPr>
            <w:tcW w:type="dxa" w:w="3557"/>
          </w:tcPr>
          <w:p>
            <w:pPr>
              <w:spacing w:before="20" w:after="20" w:line="254" w:lineRule="auto"/>
            </w:pPr>
          </w:p>
        </w:tc>
      </w:tr>
    </w:tbl>
    <w:p>
      <w:pPr>
        <w:spacing w:after="40"/>
      </w:pPr>
    </w:p>
    <w:p>
      <w:r>
        <w:br w:type="page"/>
      </w:r>
    </w:p>
    <w:p>
      <w:pPr>
        <w:pStyle w:val="Heading1"/>
      </w:pPr>
      <w:r>
        <w:t>Instrument 5 — Decision log</w:t>
      </w:r>
    </w:p>
    <w:tbl>
      <w:tblPr>
        <w:tblStyle w:val="ToolkitTable"/>
        <w:tblW w:type="auto" w:w="0"/>
        <w:jc w:val="left"/>
        <w:tblLayout w:type="fixed"/>
        <w:tblLook w:val="04A0" w:firstRow="1" w:lastRow="0" w:firstColumn="0" w:lastColumn="0" w:noHBand="0" w:noVBand="1"/>
      </w:tblPr>
      <w:tblGrid>
        <w:gridCol w:w="1310"/>
        <w:gridCol w:w="1685"/>
        <w:gridCol w:w="1685"/>
        <w:gridCol w:w="1498"/>
        <w:gridCol w:w="1685"/>
        <w:gridCol w:w="1498"/>
      </w:tblGrid>
      <w:tr>
        <w:trPr>
          <w:tblHeader/>
        </w:trPr>
        <w:tc>
          <w:tcPr>
            <w:tcW w:type="dxa" w:w="1310"/>
          </w:tcPr>
          <w:p>
            <w:pPr>
              <w:spacing w:before="20" w:after="20" w:line="254" w:lineRule="auto"/>
            </w:pPr>
            <w:r>
              <w:rPr>
                <w:rFonts w:ascii="Carlito" w:hAnsi="Carlito"/>
                <w:b/>
                <w:i w:val="0"/>
                <w:color w:val="FFFFFF"/>
                <w:sz w:val="19"/>
              </w:rPr>
              <w:t>Decision ID and date</w:t>
            </w:r>
          </w:p>
        </w:tc>
        <w:tc>
          <w:tcPr>
            <w:tcW w:type="dxa" w:w="1685"/>
          </w:tcPr>
          <w:p>
            <w:pPr>
              <w:spacing w:before="20" w:after="20" w:line="254" w:lineRule="auto"/>
            </w:pPr>
            <w:r>
              <w:rPr>
                <w:rFonts w:ascii="Carlito" w:hAnsi="Carlito"/>
                <w:b/>
                <w:i w:val="0"/>
                <w:color w:val="FFFFFF"/>
                <w:sz w:val="19"/>
              </w:rPr>
              <w:t>Product and event</w:t>
            </w:r>
          </w:p>
        </w:tc>
        <w:tc>
          <w:tcPr>
            <w:tcW w:type="dxa" w:w="1685"/>
          </w:tcPr>
          <w:p>
            <w:pPr>
              <w:spacing w:before="20" w:after="20" w:line="254" w:lineRule="auto"/>
            </w:pPr>
            <w:r>
              <w:rPr>
                <w:rFonts w:ascii="Carlito" w:hAnsi="Carlito"/>
                <w:b/>
                <w:i w:val="0"/>
                <w:color w:val="FFFFFF"/>
                <w:sz w:val="19"/>
              </w:rPr>
              <w:t>Decision</w:t>
            </w:r>
          </w:p>
        </w:tc>
        <w:tc>
          <w:tcPr>
            <w:tcW w:type="dxa" w:w="1498"/>
          </w:tcPr>
          <w:p>
            <w:pPr>
              <w:spacing w:before="20" w:after="20" w:line="254" w:lineRule="auto"/>
            </w:pPr>
            <w:r>
              <w:rPr>
                <w:rFonts w:ascii="Carlito" w:hAnsi="Carlito"/>
                <w:b/>
                <w:i w:val="0"/>
                <w:color w:val="FFFFFF"/>
                <w:sz w:val="19"/>
              </w:rPr>
              <w:t>Rationale reference</w:t>
            </w:r>
          </w:p>
        </w:tc>
        <w:tc>
          <w:tcPr>
            <w:tcW w:type="dxa" w:w="1685"/>
          </w:tcPr>
          <w:p>
            <w:pPr>
              <w:spacing w:before="20" w:after="20" w:line="254" w:lineRule="auto"/>
            </w:pPr>
            <w:r>
              <w:rPr>
                <w:rFonts w:ascii="Carlito" w:hAnsi="Carlito"/>
                <w:b/>
                <w:i w:val="0"/>
                <w:color w:val="FFFFFF"/>
                <w:sz w:val="19"/>
              </w:rPr>
              <w:t>Actions, owners, due dates</w:t>
            </w:r>
          </w:p>
        </w:tc>
        <w:tc>
          <w:tcPr>
            <w:tcW w:type="dxa" w:w="1498"/>
          </w:tcPr>
          <w:p>
            <w:pPr>
              <w:spacing w:before="20" w:after="20" w:line="254" w:lineRule="auto"/>
            </w:pPr>
            <w:r>
              <w:rPr>
                <w:rFonts w:ascii="Carlito" w:hAnsi="Carlito"/>
                <w:b/>
                <w:i w:val="0"/>
                <w:color w:val="FFFFFF"/>
                <w:sz w:val="19"/>
              </w:rPr>
              <w:t>Notification and reopening triggers</w:t>
            </w:r>
          </w:p>
        </w:tc>
      </w:tr>
      <w:tr>
        <w:tc>
          <w:tcPr>
            <w:tcW w:type="dxa" w:w="1310"/>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498"/>
          </w:tcPr>
          <w:p>
            <w:pPr>
              <w:spacing w:before="20" w:after="20" w:line="254" w:lineRule="auto"/>
            </w:pPr>
          </w:p>
        </w:tc>
        <w:tc>
          <w:tcPr>
            <w:tcW w:type="dxa" w:w="1685"/>
          </w:tcPr>
          <w:p>
            <w:pPr>
              <w:spacing w:before="20" w:after="20" w:line="254" w:lineRule="auto"/>
            </w:pPr>
          </w:p>
        </w:tc>
        <w:tc>
          <w:tcPr>
            <w:tcW w:type="dxa" w:w="1498"/>
          </w:tcPr>
          <w:p>
            <w:pPr>
              <w:spacing w:before="20" w:after="20" w:line="254" w:lineRule="auto"/>
            </w:pPr>
          </w:p>
        </w:tc>
      </w:tr>
      <w:tr>
        <w:tc>
          <w:tcPr>
            <w:tcW w:type="dxa" w:w="1310"/>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498"/>
          </w:tcPr>
          <w:p>
            <w:pPr>
              <w:spacing w:before="20" w:after="20" w:line="254" w:lineRule="auto"/>
            </w:pPr>
          </w:p>
        </w:tc>
        <w:tc>
          <w:tcPr>
            <w:tcW w:type="dxa" w:w="1685"/>
          </w:tcPr>
          <w:p>
            <w:pPr>
              <w:spacing w:before="20" w:after="20" w:line="254" w:lineRule="auto"/>
            </w:pPr>
          </w:p>
        </w:tc>
        <w:tc>
          <w:tcPr>
            <w:tcW w:type="dxa" w:w="1498"/>
          </w:tcPr>
          <w:p>
            <w:pPr>
              <w:spacing w:before="20" w:after="20" w:line="254" w:lineRule="auto"/>
            </w:pPr>
          </w:p>
        </w:tc>
      </w:tr>
      <w:tr>
        <w:tc>
          <w:tcPr>
            <w:tcW w:type="dxa" w:w="1310"/>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498"/>
          </w:tcPr>
          <w:p>
            <w:pPr>
              <w:spacing w:before="20" w:after="20" w:line="254" w:lineRule="auto"/>
            </w:pPr>
          </w:p>
        </w:tc>
        <w:tc>
          <w:tcPr>
            <w:tcW w:type="dxa" w:w="1685"/>
          </w:tcPr>
          <w:p>
            <w:pPr>
              <w:spacing w:before="20" w:after="20" w:line="254" w:lineRule="auto"/>
            </w:pPr>
          </w:p>
        </w:tc>
        <w:tc>
          <w:tcPr>
            <w:tcW w:type="dxa" w:w="1498"/>
          </w:tcPr>
          <w:p>
            <w:pPr>
              <w:spacing w:before="20" w:after="20" w:line="254" w:lineRule="auto"/>
            </w:pPr>
          </w:p>
        </w:tc>
      </w:tr>
      <w:tr>
        <w:tc>
          <w:tcPr>
            <w:tcW w:type="dxa" w:w="1310"/>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498"/>
          </w:tcPr>
          <w:p>
            <w:pPr>
              <w:spacing w:before="20" w:after="20" w:line="254" w:lineRule="auto"/>
            </w:pPr>
          </w:p>
        </w:tc>
        <w:tc>
          <w:tcPr>
            <w:tcW w:type="dxa" w:w="1685"/>
          </w:tcPr>
          <w:p>
            <w:pPr>
              <w:spacing w:before="20" w:after="20" w:line="254" w:lineRule="auto"/>
            </w:pPr>
          </w:p>
        </w:tc>
        <w:tc>
          <w:tcPr>
            <w:tcW w:type="dxa" w:w="1498"/>
          </w:tcPr>
          <w:p>
            <w:pPr>
              <w:spacing w:before="20" w:after="20" w:line="254" w:lineRule="auto"/>
            </w:pPr>
          </w:p>
        </w:tc>
      </w:tr>
      <w:tr>
        <w:tc>
          <w:tcPr>
            <w:tcW w:type="dxa" w:w="1310"/>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498"/>
          </w:tcPr>
          <w:p>
            <w:pPr>
              <w:spacing w:before="20" w:after="20" w:line="254" w:lineRule="auto"/>
            </w:pPr>
          </w:p>
        </w:tc>
        <w:tc>
          <w:tcPr>
            <w:tcW w:type="dxa" w:w="1685"/>
          </w:tcPr>
          <w:p>
            <w:pPr>
              <w:spacing w:before="20" w:after="20" w:line="254" w:lineRule="auto"/>
            </w:pPr>
          </w:p>
        </w:tc>
        <w:tc>
          <w:tcPr>
            <w:tcW w:type="dxa" w:w="1498"/>
          </w:tcPr>
          <w:p>
            <w:pPr>
              <w:spacing w:before="20" w:after="20" w:line="254" w:lineRule="auto"/>
            </w:pPr>
          </w:p>
        </w:tc>
      </w:tr>
      <w:tr>
        <w:tc>
          <w:tcPr>
            <w:tcW w:type="dxa" w:w="1310"/>
          </w:tcPr>
          <w:p>
            <w:pPr>
              <w:spacing w:before="20" w:after="20" w:line="254" w:lineRule="auto"/>
            </w:pPr>
          </w:p>
        </w:tc>
        <w:tc>
          <w:tcPr>
            <w:tcW w:type="dxa" w:w="1685"/>
          </w:tcPr>
          <w:p>
            <w:pPr>
              <w:spacing w:before="20" w:after="20" w:line="254" w:lineRule="auto"/>
            </w:pPr>
          </w:p>
        </w:tc>
        <w:tc>
          <w:tcPr>
            <w:tcW w:type="dxa" w:w="1685"/>
          </w:tcPr>
          <w:p>
            <w:pPr>
              <w:spacing w:before="20" w:after="20" w:line="254" w:lineRule="auto"/>
            </w:pPr>
          </w:p>
        </w:tc>
        <w:tc>
          <w:tcPr>
            <w:tcW w:type="dxa" w:w="1498"/>
          </w:tcPr>
          <w:p>
            <w:pPr>
              <w:spacing w:before="20" w:after="20" w:line="254" w:lineRule="auto"/>
            </w:pPr>
          </w:p>
        </w:tc>
        <w:tc>
          <w:tcPr>
            <w:tcW w:type="dxa" w:w="1685"/>
          </w:tcPr>
          <w:p>
            <w:pPr>
              <w:spacing w:before="20" w:after="20" w:line="254" w:lineRule="auto"/>
            </w:pPr>
          </w:p>
        </w:tc>
        <w:tc>
          <w:tcPr>
            <w:tcW w:type="dxa" w:w="1498"/>
          </w:tcPr>
          <w:p>
            <w:pPr>
              <w:spacing w:before="20" w:after="20" w:line="254" w:lineRule="auto"/>
            </w:pPr>
          </w:p>
        </w:tc>
      </w:tr>
    </w:tbl>
    <w:p>
      <w:pPr>
        <w:spacing w:after="40"/>
      </w:pPr>
    </w:p>
    <w:tbl>
      <w:tblPr>
        <w:tblStyle w:val="ToolkitTable"/>
        <w:tblW w:type="auto" w:w="0"/>
        <w:jc w:val="left"/>
        <w:tblLayout w:type="fixed"/>
        <w:tblLook w:val="04A0" w:firstRow="1" w:lastRow="0" w:firstColumn="0" w:lastColumn="0" w:noHBand="0" w:noVBand="1"/>
      </w:tblPr>
      <w:tblGrid>
        <w:gridCol w:w="2434"/>
        <w:gridCol w:w="6926"/>
      </w:tblGrid>
      <w:tr>
        <w:trPr>
          <w:tblHeader/>
        </w:trPr>
        <w:tc>
          <w:tcPr>
            <w:tcW w:type="dxa" w:w="2434"/>
          </w:tcPr>
          <w:p>
            <w:pPr>
              <w:spacing w:before="20" w:after="20" w:line="254" w:lineRule="auto"/>
            </w:pPr>
            <w:r>
              <w:rPr>
                <w:rFonts w:ascii="Carlito" w:hAnsi="Carlito"/>
                <w:b/>
                <w:i w:val="0"/>
                <w:color w:val="FFFFFF"/>
                <w:sz w:val="19"/>
              </w:rPr>
              <w:t>Column</w:t>
            </w:r>
          </w:p>
        </w:tc>
        <w:tc>
          <w:tcPr>
            <w:tcW w:type="dxa" w:w="6926"/>
          </w:tcPr>
          <w:p>
            <w:pPr>
              <w:spacing w:before="20" w:after="20" w:line="254" w:lineRule="auto"/>
            </w:pPr>
            <w:r>
              <w:rPr>
                <w:rFonts w:ascii="Carlito" w:hAnsi="Carlito"/>
                <w:b/>
                <w:i w:val="0"/>
                <w:color w:val="FFFFFF"/>
                <w:sz w:val="19"/>
              </w:rPr>
              <w:t>Content</w:t>
            </w:r>
          </w:p>
        </w:tc>
      </w:tr>
      <w:tr>
        <w:tc>
          <w:tcPr>
            <w:tcW w:type="dxa" w:w="2434"/>
          </w:tcPr>
          <w:p>
            <w:pPr>
              <w:spacing w:before="20" w:after="20" w:line="254" w:lineRule="auto"/>
            </w:pPr>
            <w:r>
              <w:rPr>
                <w:rFonts w:ascii="Carlito" w:hAnsi="Carlito"/>
                <w:b w:val="0"/>
                <w:i w:val="0"/>
                <w:sz w:val="19"/>
              </w:rPr>
              <w:t>Decision ID and date</w:t>
            </w:r>
          </w:p>
        </w:tc>
        <w:tc>
          <w:tcPr>
            <w:tcW w:type="dxa" w:w="6926"/>
          </w:tcPr>
          <w:p>
            <w:pPr>
              <w:spacing w:before="20" w:after="20" w:line="254" w:lineRule="auto"/>
            </w:pPr>
            <w:r>
              <w:rPr>
                <w:rFonts w:ascii="Carlito" w:hAnsi="Carlito"/>
                <w:b w:val="0"/>
                <w:i w:val="0"/>
                <w:sz w:val="19"/>
              </w:rPr>
              <w:t>Unique identifier; meeting date; ad hoc flag if applicable</w:t>
            </w:r>
          </w:p>
        </w:tc>
      </w:tr>
      <w:tr>
        <w:tc>
          <w:tcPr>
            <w:tcW w:type="dxa" w:w="2434"/>
          </w:tcPr>
          <w:p>
            <w:pPr>
              <w:spacing w:before="20" w:after="20" w:line="254" w:lineRule="auto"/>
            </w:pPr>
            <w:r>
              <w:rPr>
                <w:rFonts w:ascii="Carlito" w:hAnsi="Carlito"/>
                <w:b w:val="0"/>
                <w:i w:val="0"/>
                <w:sz w:val="19"/>
              </w:rPr>
              <w:t>Product and event</w:t>
            </w:r>
          </w:p>
        </w:tc>
        <w:tc>
          <w:tcPr>
            <w:tcW w:type="dxa" w:w="6926"/>
          </w:tcPr>
          <w:p>
            <w:pPr>
              <w:spacing w:before="20" w:after="20" w:line="254" w:lineRule="auto"/>
            </w:pPr>
            <w:r>
              <w:rPr>
                <w:rFonts w:ascii="Carlito" w:hAnsi="Carlito"/>
                <w:b w:val="0"/>
                <w:i w:val="0"/>
                <w:sz w:val="19"/>
              </w:rPr>
              <w:t>As in the signal tracker, using the same identifier</w:t>
            </w:r>
          </w:p>
        </w:tc>
      </w:tr>
      <w:tr>
        <w:tc>
          <w:tcPr>
            <w:tcW w:type="dxa" w:w="2434"/>
          </w:tcPr>
          <w:p>
            <w:pPr>
              <w:spacing w:before="20" w:after="20" w:line="254" w:lineRule="auto"/>
            </w:pPr>
            <w:r>
              <w:rPr>
                <w:rFonts w:ascii="Carlito" w:hAnsi="Carlito"/>
                <w:b w:val="0"/>
                <w:i w:val="0"/>
                <w:sz w:val="19"/>
              </w:rPr>
              <w:t>Decision</w:t>
            </w:r>
          </w:p>
        </w:tc>
        <w:tc>
          <w:tcPr>
            <w:tcW w:type="dxa" w:w="6926"/>
          </w:tcPr>
          <w:p>
            <w:pPr>
              <w:spacing w:before="20" w:after="20" w:line="254" w:lineRule="auto"/>
            </w:pPr>
            <w:r>
              <w:rPr>
                <w:rFonts w:ascii="Carlito" w:hAnsi="Carlito"/>
                <w:b w:val="0"/>
                <w:i w:val="0"/>
                <w:sz w:val="19"/>
              </w:rPr>
              <w:t>Process step and outcome; priority where assigned</w:t>
            </w:r>
          </w:p>
        </w:tc>
      </w:tr>
      <w:tr>
        <w:tc>
          <w:tcPr>
            <w:tcW w:type="dxa" w:w="2434"/>
          </w:tcPr>
          <w:p>
            <w:pPr>
              <w:spacing w:before="20" w:after="20" w:line="254" w:lineRule="auto"/>
            </w:pPr>
            <w:r>
              <w:rPr>
                <w:rFonts w:ascii="Carlito" w:hAnsi="Carlito"/>
                <w:b w:val="0"/>
                <w:i w:val="0"/>
                <w:sz w:val="19"/>
              </w:rPr>
              <w:t>Rationale reference</w:t>
            </w:r>
          </w:p>
        </w:tc>
        <w:tc>
          <w:tcPr>
            <w:tcW w:type="dxa" w:w="6926"/>
          </w:tcPr>
          <w:p>
            <w:pPr>
              <w:spacing w:before="20" w:after="20" w:line="254" w:lineRule="auto"/>
            </w:pPr>
            <w:r>
              <w:rPr>
                <w:rFonts w:ascii="Carlito" w:hAnsi="Carlito"/>
                <w:b w:val="0"/>
                <w:i w:val="0"/>
                <w:sz w:val="19"/>
              </w:rPr>
              <w:t>One-line basis plus a pointer to the minute section and the pre-read version</w:t>
            </w:r>
          </w:p>
        </w:tc>
      </w:tr>
      <w:tr>
        <w:tc>
          <w:tcPr>
            <w:tcW w:type="dxa" w:w="2434"/>
          </w:tcPr>
          <w:p>
            <w:pPr>
              <w:spacing w:before="20" w:after="20" w:line="254" w:lineRule="auto"/>
            </w:pPr>
            <w:r>
              <w:rPr>
                <w:rFonts w:ascii="Carlito" w:hAnsi="Carlito"/>
                <w:b w:val="0"/>
                <w:i w:val="0"/>
                <w:sz w:val="19"/>
              </w:rPr>
              <w:t>Actions, owners, due dates</w:t>
            </w:r>
          </w:p>
        </w:tc>
        <w:tc>
          <w:tcPr>
            <w:tcW w:type="dxa" w:w="6926"/>
          </w:tcPr>
          <w:p>
            <w:pPr>
              <w:spacing w:before="20" w:after="20" w:line="254" w:lineRule="auto"/>
            </w:pPr>
            <w:r>
              <w:rPr>
                <w:rFonts w:ascii="Carlito" w:hAnsi="Carlito"/>
                <w:b w:val="0"/>
                <w:i w:val="0"/>
                <w:sz w:val="19"/>
              </w:rPr>
              <w:t>One row per action; status updated at each meeting until closed</w:t>
            </w:r>
          </w:p>
        </w:tc>
      </w:tr>
      <w:tr>
        <w:tc>
          <w:tcPr>
            <w:tcW w:type="dxa" w:w="2434"/>
          </w:tcPr>
          <w:p>
            <w:pPr>
              <w:spacing w:before="20" w:after="20" w:line="254" w:lineRule="auto"/>
            </w:pPr>
            <w:r>
              <w:rPr>
                <w:rFonts w:ascii="Carlito" w:hAnsi="Carlito"/>
                <w:b w:val="0"/>
                <w:i w:val="0"/>
                <w:sz w:val="19"/>
              </w:rPr>
              <w:t>Notification and reopening triggers</w:t>
            </w:r>
          </w:p>
        </w:tc>
        <w:tc>
          <w:tcPr>
            <w:tcW w:type="dxa" w:w="6926"/>
          </w:tcPr>
          <w:p>
            <w:pPr>
              <w:spacing w:before="20" w:after="20" w:line="254" w:lineRule="auto"/>
            </w:pPr>
            <w:r>
              <w:rPr>
                <w:rFonts w:ascii="Carlito" w:hAnsi="Carlito"/>
                <w:b w:val="0"/>
                <w:i w:val="0"/>
                <w:sz w:val="19"/>
              </w:rPr>
              <w:t>Obligation assessed yes/no with owner; objective triggers where the decision is a closure</w:t>
            </w:r>
          </w:p>
        </w:tc>
      </w:tr>
    </w:tbl>
    <w:p>
      <w:pPr>
        <w:spacing w:after="40"/>
      </w:pPr>
    </w:p>
    <w:p>
      <w:pPr>
        <w:spacing w:before="40" w:after="160"/>
        <w:pBdr>
          <w:bottom w:val="single" w:sz="6" w:space="1" w:color="9FBAC0"/>
        </w:pBdr>
      </w:pPr>
    </w:p>
    <w:p>
      <w:r>
        <w:rPr>
          <w:rFonts w:ascii="Carlito" w:hAnsi="Carlito"/>
          <w:i/>
          <w:color w:val="4A5B63"/>
          <w:sz w:val="18"/>
        </w:rPr>
        <w:t>This template is educational. It does not replace applicable law, current regulatory guidance, medical judgment, or company procedures. Adapt it to your own procedures before use.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4A5B63"/>
        <w:sz w:val="16"/>
      </w:rPr>
      <w:t>T-16 Committee Charter, Agenda, Pre-read, Minutes and Decision Log · Signal Management in Pharmacovigilance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Carlito" w:hAnsi="Carlito" w:cs="Carlito" w:eastAsia="Carlito"/>
      <w:color w:val="1E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keepNext/>
    </w:pPr>
    <w:rPr>
      <w:rFonts w:asciiTheme="majorHAnsi" w:eastAsiaTheme="majorEastAsia" w:hAnsiTheme="majorHAnsi" w:cstheme="majorBidi" w:ascii="Caladea" w:hAnsi="Caladea" w:cs="Caladea" w:eastAsia="Caladea"/>
      <w:b/>
      <w:bCs/>
      <w:color w:val="1F5661"/>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keepNext/>
    </w:pPr>
    <w:rPr>
      <w:rFonts w:asciiTheme="majorHAnsi" w:eastAsiaTheme="majorEastAsia" w:hAnsiTheme="majorHAnsi" w:cstheme="majorBidi" w:ascii="Caladea" w:hAnsi="Caladea" w:cs="Caladea" w:eastAsia="Caladea"/>
      <w:b/>
      <w:bCs/>
      <w:color w:val="1F5661"/>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keepNext/>
    </w:pPr>
    <w:rPr>
      <w:rFonts w:asciiTheme="majorHAnsi" w:eastAsiaTheme="majorEastAsia" w:hAnsiTheme="majorHAnsi" w:cstheme="majorBidi" w:ascii="Caladea" w:hAnsi="Caladea" w:cs="Caladea" w:eastAsia="Caladea"/>
      <w:b/>
      <w:bCs/>
      <w:color w:val="1F56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0"/>
      <w:contextualSpacing/>
    </w:pPr>
    <w:rPr>
      <w:rFonts w:asciiTheme="majorHAnsi" w:eastAsiaTheme="majorEastAsia" w:hAnsiTheme="majorHAnsi" w:cstheme="majorBidi" w:ascii="Caladea" w:hAnsi="Caladea" w:cs="Caladea" w:eastAsia="Caladea"/>
      <w:b/>
      <w:color w:val="1F566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before="0" w:after="140"/>
    </w:pPr>
    <w:rPr>
      <w:rFonts w:ascii="Carlito" w:hAnsi="Carlito" w:cs="Carlito" w:eastAsia="Carlito"/>
      <w:i/>
      <w:color w:val="4A5B63"/>
      <w:sz w:val="19"/>
    </w:rPr>
  </w:style>
  <w:style w:type="paragraph" w:customStyle="1" w:styleId="SubtleNote">
    <w:name w:val="SubtleNote"/>
    <w:basedOn w:val="Normal"/>
    <w:pPr>
      <w:spacing w:before="0" w:after="100"/>
    </w:pPr>
    <w:rPr>
      <w:rFonts w:ascii="Carlito" w:hAnsi="Carlito" w:cs="Carlito" w:eastAsia="Carlito"/>
      <w:color w:val="4A5B63"/>
      <w:sz w:val="19"/>
    </w:rPr>
  </w:style>
  <w:style w:type="table" w:styleId="ToolkitTable">
    <w:name w:val="Toolkit Table"/>
    <w:basedOn w:val="TableNormal"/>
    <w:uiPriority w:val="59"/>
    <w:qFormat/>
    <w:rPr>
      <w:rFonts w:ascii="Carlito" w:hAnsi="Carlito" w:cs="Carlito"/>
      <w:color w:val="1E2A32"/>
      <w:sz w:val="19"/>
    </w:rPr>
    <w:tblPr>
      <w:tblStyleRowBandSize w:val="1"/>
      <w:tblBorders>
        <w:top w:val="single" w:sz="4" w:space="0" w:color="9FBAC0"/>
        <w:left w:val="single" w:sz="4" w:space="0" w:color="9FBAC0"/>
        <w:bottom w:val="single" w:sz="4" w:space="0" w:color="9FBAC0"/>
        <w:right w:val="single" w:sz="4" w:space="0" w:color="9FBAC0"/>
        <w:insideH w:val="single" w:sz="4" w:space="0" w:color="9FBAC0"/>
        <w:insideV w:val="single" w:sz="4" w:space="0" w:color="9FBAC0"/>
      </w:tblBorders>
      <w:tblCellMar>
        <w:top w:w="72" w:type="dxa"/>
        <w:left w:w="101" w:type="dxa"/>
        <w:bottom w:w="72" w:type="dxa"/>
        <w:right w:w="101" w:type="dxa"/>
      </w:tblCellMar>
    </w:tblPr>
    <w:tblStylePr w:type="firstRow">
      <w:pPr>
        <w:keepNext/>
        <w:spacing w:before="20" w:after="20"/>
      </w:pPr>
      <w:rPr>
        <w:rFonts w:ascii="Carlito" w:hAnsi="Carlito"/>
        <w:b/>
        <w:color w:val="FFFFFF"/>
      </w:rPr>
      <w:tcPr>
        <w:shd w:val="clear" w:color="auto" w:fill="1F5661"/>
      </w:tcPr>
    </w:tblStylePr>
    <w:tblStylePr w:type="band1Horz">
      <w:tcPr>
        <w:shd w:val="clear" w:color="auto" w:fill="E8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