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T-17 — Signal Assessment Report, Closure Memo, Action Log and Reopening Review</w:t>
      </w:r>
    </w:p>
    <w:p>
      <w:pPr>
        <w:spacing w:after="20"/>
      </w:pPr>
      <w:r>
        <w:rPr>
          <w:rFonts w:ascii="Caladea" w:hAnsi="Caladea"/>
          <w:b/>
          <w:color w:val="1E2A32"/>
          <w:sz w:val="21"/>
        </w:rPr>
        <w:t>Signal Management in Pharmacovigilance</w:t>
      </w:r>
    </w:p>
    <w:p>
      <w:pPr>
        <w:spacing w:after="120"/>
      </w:pPr>
      <w:r>
        <w:rPr>
          <w:rFonts w:ascii="Carlito" w:hAnsi="Carlito"/>
          <w:color w:val="4A5B63"/>
          <w:sz w:val="19"/>
        </w:rPr>
        <w:t>Dr. Hafez Selim, MD, PhD  ·  Selim Medical Press</w:t>
      </w:r>
    </w:p>
    <w:p>
      <w:pPr>
        <w:spacing w:before="40" w:after="160"/>
        <w:pBdr>
          <w:bottom w:val="single" w:sz="12" w:space="1" w:color="1F5661"/>
        </w:pBdr>
      </w:pPr>
    </w:p>
    <w:p>
      <w:pPr>
        <w:spacing w:after="200"/>
      </w:pPr>
      <w:r>
        <w:rPr>
          <w:rFonts w:ascii="Carlito" w:hAnsi="Carlito"/>
          <w:b/>
          <w:color w:val="1F5661"/>
          <w:sz w:val="20"/>
        </w:rPr>
        <w:t xml:space="preserve">When to use this tool: </w:t>
      </w:r>
      <w:r>
        <w:rPr>
          <w:rFonts w:ascii="Carlito" w:hAnsi="Carlito"/>
          <w:color w:val="1E2A32"/>
          <w:sz w:val="20"/>
        </w:rPr>
        <w:t>The documents that carry a signal from assessment to closure and, where necessary, back again.</w:t>
      </w:r>
    </w:p>
    <w:p>
      <w:r>
        <w:t>This tool assumes T-05 for the validation record and T-16 for committee records, and does not duplicate them; the assessment report references both rather than restating their content.</w:t>
      </w:r>
    </w:p>
    <w:p>
      <w:r>
        <w:t>Two structural choices are worth keeping. The excluded-case log is an appendix of the report rather than a working file, which makes exclusions part of the deliverable. And the conclusion section separates what is concluded from what is expressly not concluded, which prevents a closed signal from being cited later as evidence of absence of risk.</w:t>
      </w:r>
    </w:p>
    <w:p>
      <w:r>
        <w:br w:type="page"/>
      </w:r>
    </w:p>
    <w:p>
      <w:pPr>
        <w:pStyle w:val="Heading1"/>
      </w:pPr>
      <w:r>
        <w:t>Instrument 1 — Signal assessment report, annotated table of contents</w:t>
      </w:r>
    </w:p>
    <w:p>
      <w:r>
        <w:t>Methods precede results. Limitations precede the conclusion. The conclusion is required to engage with them.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374"/>
        <w:gridCol w:w="1685"/>
        <w:gridCol w:w="4493"/>
        <w:gridCol w:w="2808"/>
      </w:tblGrid>
      <w:tr>
        <w:trPr>
          <w:tblHeader/>
        </w:trP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§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Must contain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Commonest defect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Administrative header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Signal identifier, product, active moiety, event, status, data cut, report version and date, author, reviewers, EPITT or authority reference where applicable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Version and data cut omitted, making the document undatable in substance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2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Executive summary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Question, evidence in brief, conclusion, recommendation, residual uncertainty, in under one page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Written as a summary of activities rather than of findings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3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Product background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Indication, posology, route, approval history, cumulative exposure with derivation, current reference information versions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Exposure quoted without its derivation or source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4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Signal history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Alert source and detection record, validation outcome and date, prioritization and score, prior assessments and their conclusions, any prior closure and its triggers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Prior closures omitted, so a reopened signal reads as new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5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Assessment question and objectives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Population, exposure, outcome definition, time window, comparator, and the decision each possible finding supports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 topic stated instead of a question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6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Methods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Data sources and cuts; full search syntax and MedDRA version; case definition and criteria; inclusion and exclusion rules; duplicate management; analytic methods and software versions; exposure estimation method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Written after the results were known and shaped to fit them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7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Case series results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Selection flow with a number at each step; demographics; clinical features; latency; dechallenge and rechallenge; outcomes; reference to the line listing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Retrieval count and assessable count used interchangeably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8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Other evidence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Clinical trials with numerators and denominators; literature with the search record; epidemiologic studies with design and limitations; registries; class and mechanistic data; regulatory intelligence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Sources that do not support the emerging conclusion omitted rather than weighed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9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Integrated analysis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Totality-of-evidence table (T-13); consistency, strength, temporality, dose relationship, plausibility, coherence; explicit weighting of conflicting sources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 list of sources with no synthesis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Limitations and uncertainty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Reporting bias, missing data, denominator weakness, power, confounding, case-definition sensitivity, and the effect of each on the conclusion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Generic caveats unconnected to any specific inference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Causality discussion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Reasoning at signal level against the stated framework (T-14); alternative explanations considered and why they are insufficient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 disproportionality statistic offered as causal evidence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Benefit–risk considerations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Indication, severity of the treated disease, alternatives, preventability, population affected (T-15)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Omitted, leaving the recommendation unsupported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13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Conclusion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is concluded, at what strength; and what is expressly not concluded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Stronger than the evidence section supports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14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Recommendations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Proposed actions with rationale, owners and target dates; options considered and rejected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Actions without owners or dates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15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Monitoring and reopening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Surveillance arrangements; objective, countable triggers; where the checking responsibility sits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“Routine surveillance continues” and nothing else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16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References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Full citations; regulatory documents with version and date; literature search record reference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Guidance cited without version or date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17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Appendices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Search syntax; line listing; excluded-case log; literature search record; exposure derivation; committee minute extracts; document version history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Excluded-case log absent</w:t>
            </w:r>
          </w:p>
        </w:tc>
      </w:tr>
      <w:tr>
        <w:tc>
          <w:tcPr>
            <w:tcW w:type="dxa" w:w="37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18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Approvals</w:t>
            </w:r>
          </w:p>
        </w:tc>
        <w:tc>
          <w:tcPr>
            <w:tcW w:type="dxa" w:w="4493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Author, medical reviewer with qualification, approver, dates, signature method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Initials without role or date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 2 — Closure memo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Signal identifier and reference documents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Tracker ID, assessment report version, committee decision reference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Data cut at closure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Frozen date of the last dataset assessed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Conclusion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is concluded, at what strength, in the vocabulary of the process step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Refuted, indeterminate with continued monitoring, or supported and reclassified. Not 'no signal'.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is not concluded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Explicit statement of the inference the closure does not support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Required field. A closure on insufficient evidence is not a finding that the product does not cause the event, and will be quoted as if it were unless you write this.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Rationale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criterion that determined the outcome; evidence on each side; weighting of conflicts; residual uncertainty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Alternatives considered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options available to the committee and why each was rejected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Dissent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Member, point, grounds, the condition that would change the position; or 'none recorded'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Monitoring arrangement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Frequency, targeted review, standing case set, literature flags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Reopening triggers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Objective, countable conditions; the time within which a met trigger returns the signal to review; the owner of the check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Countable by someone who never met the team. Then answer: what system rule, standing report, or routing would actually detect each trigger?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Notification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Whether any authority notification or aggregate-report entry is required, with owner and date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Approval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Author, medical reviewer, approver, roles, dates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Reopening triggers — operational detail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995"/>
        <w:gridCol w:w="2808"/>
        <w:gridCol w:w="1872"/>
        <w:gridCol w:w="1685"/>
      </w:tblGrid>
      <w:tr>
        <w:trPr>
          <w:tblHeader/>
        </w:trPr>
        <w:tc>
          <w:tcPr>
            <w:tcW w:type="dxa" w:w="299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Trigger, as written</w:t>
            </w: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would detect it</w:t>
            </w: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Owner of the check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Frequency of the check</w:t>
            </w:r>
          </w:p>
        </w:tc>
      </w:tr>
      <w:tr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808"/>
          </w:tcPr>
          <w:p>
            <w:pPr>
              <w:spacing w:before="20" w:after="20" w:line="254" w:lineRule="auto"/>
            </w:pPr>
          </w:p>
        </w:tc>
        <w:tc>
          <w:tcPr>
            <w:tcW w:type="dxa" w:w="1872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Prompt"/>
      </w:pPr>
      <w:r>
        <w:t>The second column is the one an inspector asks about. A trigger with no detection mechanism is an aspiration, and the signal will come back because a regulator asked rather than because the system noticed.</w:t>
      </w:r>
    </w:p>
    <w:p>
      <w:r>
        <w:br w:type="page"/>
      </w:r>
    </w:p>
    <w:p>
      <w:pPr>
        <w:pStyle w:val="Heading1"/>
      </w:pPr>
      <w:r>
        <w:t>Instrument 3 — Action log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1310"/>
        <w:gridCol w:w="2059"/>
        <w:gridCol w:w="1498"/>
        <w:gridCol w:w="1685"/>
        <w:gridCol w:w="1498"/>
        <w:gridCol w:w="1310"/>
      </w:tblGrid>
      <w:tr>
        <w:trPr>
          <w:tblHeader/>
        </w:trPr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Action ID and source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Description and owner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Due date and status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Evidence of completion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Regulatory linkage</w:t>
            </w: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Effectiveness measure</w:t>
            </w:r>
          </w:p>
        </w:tc>
      </w:tr>
      <w:tr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  <w:tc>
          <w:tcPr>
            <w:tcW w:type="dxa" w:w="1310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Column</w:t>
            </w:r>
          </w:p>
        </w:tc>
        <w:tc>
          <w:tcPr>
            <w:tcW w:type="dxa" w:w="692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Action ID and source</w:t>
            </w:r>
          </w:p>
        </w:tc>
        <w:tc>
          <w:tcPr>
            <w:tcW w:type="dxa" w:w="692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Identifier; the decision or report section that generated it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Description and owner</w:t>
            </w:r>
          </w:p>
        </w:tc>
        <w:tc>
          <w:tcPr>
            <w:tcW w:type="dxa" w:w="692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The action as a deliverable; a named person, not a function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Due date and status</w:t>
            </w:r>
          </w:p>
        </w:tc>
        <w:tc>
          <w:tcPr>
            <w:tcW w:type="dxa" w:w="692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Original due date, revised dates with reasons, current status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Evidence of completion</w:t>
            </w:r>
          </w:p>
        </w:tc>
        <w:tc>
          <w:tcPr>
            <w:tcW w:type="dxa" w:w="692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Document, version and date proving the action was done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Regulatory linkage</w:t>
            </w:r>
          </w:p>
        </w:tc>
        <w:tc>
          <w:tcPr>
            <w:tcW w:type="dxa" w:w="692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Commitment, variation, RMP version, or labeling change control reference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Effectiveness measure</w:t>
            </w:r>
          </w:p>
        </w:tc>
        <w:tc>
          <w:tcPr>
            <w:tcW w:type="dxa" w:w="6926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How the action's effect is measured and when it is next reviewed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 4 — Reopening review record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Original closure reference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Closure memo version and date; the triggers as written at closure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Quote them. Do not paraphrase a trigger you are about to say was met.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Trigger met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Which trigger, quoted from the closure memo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Evidence meeting it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Cases, studies or requests with identifiers and dates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Date trigger recognized / date reopened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Both dates, and the interval between them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The interval is what an inspector will walk you through. Make sure the file explains it.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Revised assessment question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Whether unchanged, narrowed or broadened, and why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Priority and evidence plan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New score or category; actions with owners and dates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Assessment of the original closure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Whether the closure was reasonable on the evidence then available, with reasons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 closure can be correct on the evidence available and still be reopened. Say which of the two this was; an honest 'the closure was reasonable' is a stronger record than a defensive one.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Approval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Author, medical reviewer, approver, dates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1" w:color="9FBAC0"/>
        </w:pBdr>
      </w:pPr>
    </w:p>
    <w:p>
      <w:r>
        <w:rPr>
          <w:rFonts w:ascii="Carlito" w:hAnsi="Carlito"/>
          <w:i/>
          <w:color w:val="4A5B63"/>
          <w:sz w:val="18"/>
        </w:rPr>
        <w:t>This template is educational. It does not replace applicable law, current regulatory guidance, medical judgment, or company procedures. Adapt it to your own procedures before use.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4A5B63"/>
        <w:sz w:val="16"/>
      </w:rPr>
      <w:t>T-17 Signal Assessment Report, Closure Memo, Action Log and Reopening Review · Signal Management in Pharmacovigilance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rlito" w:hAnsi="Carlito" w:cs="Carlito" w:eastAsia="Carlito"/>
      <w:color w:val="1E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adea" w:hAnsi="Caladea" w:cs="Caladea" w:eastAsia="Caladea"/>
      <w:b/>
      <w:color w:val="1F56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before="0" w:after="140"/>
    </w:pPr>
    <w:rPr>
      <w:rFonts w:ascii="Carlito" w:hAnsi="Carlito" w:cs="Carlito" w:eastAsia="Carlito"/>
      <w:i/>
      <w:color w:val="4A5B63"/>
      <w:sz w:val="19"/>
    </w:rPr>
  </w:style>
  <w:style w:type="paragraph" w:customStyle="1" w:styleId="SubtleNote">
    <w:name w:val="SubtleNote"/>
    <w:basedOn w:val="Normal"/>
    <w:pPr>
      <w:spacing w:before="0" w:after="100"/>
    </w:pPr>
    <w:rPr>
      <w:rFonts w:ascii="Carlito" w:hAnsi="Carlito" w:cs="Carlito" w:eastAsia="Carlito"/>
      <w:color w:val="4A5B63"/>
      <w:sz w:val="19"/>
    </w:rPr>
  </w:style>
  <w:style w:type="table" w:styleId="ToolkitTable">
    <w:name w:val="Toolkit Table"/>
    <w:basedOn w:val="TableNormal"/>
    <w:uiPriority w:val="59"/>
    <w:qFormat/>
    <w:rPr>
      <w:rFonts w:ascii="Carlito" w:hAnsi="Carlito" w:cs="Carlito"/>
      <w:color w:val="1E2A32"/>
      <w:sz w:val="19"/>
    </w:rPr>
    <w:tblPr>
      <w:tblStyleRowBandSize w:val="1"/>
      <w:tblBorders>
        <w:top w:val="single" w:sz="4" w:space="0" w:color="9FBAC0"/>
        <w:left w:val="single" w:sz="4" w:space="0" w:color="9FBAC0"/>
        <w:bottom w:val="single" w:sz="4" w:space="0" w:color="9FBAC0"/>
        <w:right w:val="single" w:sz="4" w:space="0" w:color="9FBAC0"/>
        <w:insideH w:val="single" w:sz="4" w:space="0" w:color="9FBAC0"/>
        <w:insideV w:val="single" w:sz="4" w:space="0" w:color="9FBAC0"/>
      </w:tblBorders>
      <w:tblCellMar>
        <w:top w:w="72" w:type="dxa"/>
        <w:left w:w="101" w:type="dxa"/>
        <w:bottom w:w="72" w:type="dxa"/>
        <w:right w:w="101" w:type="dxa"/>
      </w:tblCellMar>
    </w:tblPr>
    <w:tblStylePr w:type="firstRow">
      <w:pPr>
        <w:keepNext/>
        <w:spacing w:before="20" w:after="20"/>
      </w:pPr>
      <w:rPr>
        <w:rFonts w:ascii="Carlito" w:hAnsi="Carlito"/>
        <w:b/>
        <w:color w:val="FFFFFF"/>
      </w:rPr>
      <w:tcPr>
        <w:shd w:val="clear" w:color="auto" w:fill="1F5661"/>
      </w:tcPr>
    </w:tblStylePr>
    <w:tblStylePr w:type="band1Horz">
      <w:tcPr>
        <w:shd w:val="clear" w:color="auto" w:fill="E8EFE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