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T-18 — Cross-Document Reconciliation Checklist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Run per product, per cycle, and per signal closure that changes a risk classification.</w:t>
      </w:r>
    </w:p>
    <w:p>
      <w:r>
        <w:t>Completed by a named owner who does not own any of the documents being compared, because an author reconciling their own work reliably finds fewer discrepancies than a reader does.</w:t>
      </w:r>
    </w:p>
    <w:p>
      <w:pPr>
        <w:pStyle w:val="Prompt"/>
      </w:pPr>
      <w:r>
        <w:t>Three rules make it useful rather than decorative. Every row receives a document version and a date, not a tick, since a tick records that someone looked and a version records what they looked at. A row that cannot be answered is a finding with an owner and a due date, not a blank to be filled in later. And the controlled classification wording entered in row 1 is copied into rows 2 to 10 and compared character by character, because paraphrase is how divergence begins.</w:t>
      </w:r>
    </w:p>
    <w:p>
      <w:pPr>
        <w:pStyle w:val="SubtleNote"/>
      </w:pPr>
      <w:r>
        <w:t>The cadence, the roles and the eleven rows are an illustrative company design, not a regulatory requirement; adapt the rows to the deliverables your products actually generate.</w:t>
      </w:r>
    </w:p>
    <w:p>
      <w:pPr>
        <w:pStyle w:val="Heading1"/>
      </w:pPr>
      <w:r>
        <w:t>Header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Active moiety and the presentations covered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Reconciliation cycle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Period covered, and whether this is a cyclical run or a closure-triggered run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Reconciler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Named owner, role, date — not an owner of any document in the table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Controlled classification wording being propagated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exact wording, copied from the closure memo or decision record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Copy it once here, then compare character by character in every row below. Do not retype it.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Reconciliation rows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374"/>
        <w:gridCol w:w="2059"/>
        <w:gridCol w:w="3744"/>
        <w:gridCol w:w="1123"/>
        <w:gridCol w:w="936"/>
        <w:gridCol w:w="1123"/>
      </w:tblGrid>
      <w:tr>
        <w:trPr>
          <w:tblHeader/>
        </w:trP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Item reconciled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Evidence recorded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Version / date</w:t>
            </w: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Consistent?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Signal tracker: every signal closed in the period with a classification change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Signal identifier, closure date, controlled classification wording, EPITT number where applicable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Risk-management plan safety specification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RMP version and date; entry present; classification identical to row 1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Identical, not equivalent.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RMP pharmacovigilance plan and risk minimization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Study or measure listed; milestones and reporting dates; effectiveness method stated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Periodic report, current cycle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 lock point; entries in the sections covering signal evaluation, risk evaluation, benefit–risk and the integrated assessment, consistent with rows 1 to 3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Verify the section numbering against the current PBRER structure before use.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5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Development safety update report and reference safety information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DSUR period; RSI version and effective date; which version applied to which cases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RSI version applied retrospectively to cases assessed under an earlier version is a finding.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6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Investigator's brochure, protocols, informed consent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IB version; protocol amendments submitted; consent revised; re-consent completed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7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Company core data sheet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Version, approval date, section changed, source signal identifier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8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Local product information, all markets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Per market: CCDS version applied, submission date, approval date, effective date, and the reason if out of sequence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In the EU, a variation follows a PRAC signal recommendation within 2 months of publication of the recommendation, alongside the standing duty to keep product information current.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9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Regulatory commitments and study milestones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Commitment register entry; due date; status; responsible function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Safety communications issued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Communication type, date, markets, alignment with the classification in row 1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Discrepancies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Each mismatch logged with owner, root cause, correction and due date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Per-market propagation table (row 8 detail)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1498"/>
        <w:gridCol w:w="1685"/>
        <w:gridCol w:w="1310"/>
        <w:gridCol w:w="1310"/>
        <w:gridCol w:w="1310"/>
        <w:gridCol w:w="2246"/>
      </w:tblGrid>
      <w:tr>
        <w:trPr>
          <w:tblHeader/>
        </w:trPr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Market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CCDS version applied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Submitted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Approved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Effective</w:t>
            </w: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Out of sequence? Reason</w:t>
            </w: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Discrepancy log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374"/>
        <w:gridCol w:w="1685"/>
        <w:gridCol w:w="1872"/>
        <w:gridCol w:w="1498"/>
        <w:gridCol w:w="1685"/>
        <w:gridCol w:w="936"/>
        <w:gridCol w:w="749"/>
        <w:gridCol w:w="562"/>
      </w:tblGrid>
      <w:tr>
        <w:trPr>
          <w:tblHeader/>
        </w:trP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Document and version</w:t>
            </w: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diverged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Root cause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Correction</w:t>
            </w: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Due date</w:t>
            </w: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Closed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936"/>
          </w:tcPr>
          <w:p>
            <w:pPr>
              <w:spacing w:before="20" w:after="20" w:line="254" w:lineRule="auto"/>
            </w:pPr>
          </w:p>
        </w:tc>
        <w:tc>
          <w:tcPr>
            <w:tcW w:type="dxa" w:w="749"/>
          </w:tcPr>
          <w:p>
            <w:pPr>
              <w:spacing w:before="20" w:after="20" w:line="254" w:lineRule="auto"/>
            </w:pPr>
          </w:p>
        </w:tc>
        <w:tc>
          <w:tcPr>
            <w:tcW w:type="dxa" w:w="562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Prompt"/>
      </w:pPr>
      <w:r>
        <w:t>Root cause matters more than the correction. A paraphrase introduced during editorial review, a market that never received the change control, and a classification agreed but never entered are three different system failures with three different remedies.</w:t>
      </w: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T-18 Cross-Document Reconciliation Checklist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