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T-19 — Inspection-Readiness Checklist and Mock Inspection</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Run against one product, by someone who did not do the work. Use the mock inspection immediately afterwards, on a closed signal.</w:t>
      </w:r>
    </w:p>
    <w:p>
      <w:r>
        <w:t>The tool has two parts. The checklist tests whether the evidence can be produced without reconstruction. The mock inspection tests whether a person can defend that evidence out loud, which is a different skill and the one that fails on the day.</w:t>
      </w:r>
    </w:p>
    <w:p>
      <w:pPr>
        <w:pStyle w:val="Prompt"/>
      </w:pPr>
      <w:r>
        <w:t>Run the exercise on a closed signal, because closure is where records are thinnest, and preferably on one that was later reopened, because that sequence is the one inspectors probe hardest. Give the interviewee the signal file, thirty minutes to prepare, and the questions unseen. Score the answers on whether the record supports them, not on fluency.</w:t>
      </w:r>
    </w:p>
    <w:p>
      <w:pPr>
        <w:pStyle w:val="SubtleNote"/>
      </w:pPr>
      <w:r>
        <w:t>The timings, roles and thresholds below are an illustrative company design, not a regulatory requirement.</w:t>
      </w:r>
    </w:p>
    <w:p>
      <w:pPr>
        <w:pStyle w:val="Heading1"/>
      </w:pPr>
      <w:r>
        <w:t>Part A — Readiness checklist</w:t>
      </w:r>
    </w:p>
    <w:tbl>
      <w:tblPr>
        <w:tblStyle w:val="ToolkitTable"/>
        <w:tblW w:type="auto" w:w="0"/>
        <w:jc w:val="left"/>
        <w:tblLayout w:type="fixed"/>
        <w:tblLook w:val="04A0" w:firstRow="1" w:lastRow="0" w:firstColumn="0" w:lastColumn="0" w:noHBand="0" w:noVBand="1"/>
      </w:tblPr>
      <w:tblGrid>
        <w:gridCol w:w="374"/>
        <w:gridCol w:w="1872"/>
        <w:gridCol w:w="4493"/>
        <w:gridCol w:w="936"/>
        <w:gridCol w:w="1685"/>
      </w:tblGrid>
      <w:tr>
        <w:trPr>
          <w:tblHeader/>
        </w:trPr>
        <w:tc>
          <w:tcPr>
            <w:tcW w:type="dxa" w:w="374"/>
          </w:tcPr>
          <w:p>
            <w:pPr>
              <w:spacing w:before="20" w:after="20" w:line="254" w:lineRule="auto"/>
            </w:pPr>
            <w:r>
              <w:rPr>
                <w:rFonts w:ascii="Carlito" w:hAnsi="Carlito"/>
                <w:b/>
                <w:i w:val="0"/>
                <w:color w:val="FFFFFF"/>
                <w:sz w:val="19"/>
              </w:rPr>
              <w:t>#</w:t>
            </w:r>
          </w:p>
        </w:tc>
        <w:tc>
          <w:tcPr>
            <w:tcW w:type="dxa" w:w="1872"/>
          </w:tcPr>
          <w:p>
            <w:pPr>
              <w:spacing w:before="20" w:after="20" w:line="254" w:lineRule="auto"/>
            </w:pPr>
            <w:r>
              <w:rPr>
                <w:rFonts w:ascii="Carlito" w:hAnsi="Carlito"/>
                <w:b/>
                <w:i w:val="0"/>
                <w:color w:val="FFFFFF"/>
                <w:sz w:val="19"/>
              </w:rPr>
              <w:t>Readiness item</w:t>
            </w:r>
          </w:p>
        </w:tc>
        <w:tc>
          <w:tcPr>
            <w:tcW w:type="dxa" w:w="4493"/>
          </w:tcPr>
          <w:p>
            <w:pPr>
              <w:spacing w:before="20" w:after="20" w:line="254" w:lineRule="auto"/>
            </w:pPr>
            <w:r>
              <w:rPr>
                <w:rFonts w:ascii="Carlito" w:hAnsi="Carlito"/>
                <w:b/>
                <w:i w:val="0"/>
                <w:color w:val="FFFFFF"/>
                <w:sz w:val="19"/>
              </w:rPr>
              <w:t>Evidence to produce in 30 minutes</w:t>
            </w:r>
          </w:p>
        </w:tc>
        <w:tc>
          <w:tcPr>
            <w:tcW w:type="dxa" w:w="936"/>
          </w:tcPr>
          <w:p>
            <w:pPr>
              <w:spacing w:before="20" w:after="20" w:line="254" w:lineRule="auto"/>
            </w:pPr>
            <w:r>
              <w:rPr>
                <w:rFonts w:ascii="Carlito" w:hAnsi="Carlito"/>
                <w:b/>
                <w:i w:val="0"/>
                <w:color w:val="FFFFFF"/>
                <w:sz w:val="19"/>
              </w:rPr>
              <w:t>Produced?</w:t>
            </w:r>
          </w:p>
        </w:tc>
        <w:tc>
          <w:tcPr>
            <w:tcW w:type="dxa" w:w="1685"/>
          </w:tcPr>
          <w:p>
            <w:pPr>
              <w:spacing w:before="20" w:after="20" w:line="254" w:lineRule="auto"/>
            </w:pPr>
            <w:r>
              <w:rPr>
                <w:rFonts w:ascii="Carlito" w:hAnsi="Carlito"/>
                <w:b/>
                <w:i w:val="0"/>
                <w:color w:val="FFFFFF"/>
                <w:sz w:val="19"/>
              </w:rPr>
              <w:t>Gap and owner</w:t>
            </w:r>
          </w:p>
        </w:tc>
      </w:tr>
      <w:tr>
        <w:tc>
          <w:tcPr>
            <w:tcW w:type="dxa" w:w="374"/>
          </w:tcPr>
          <w:p>
            <w:pPr>
              <w:spacing w:before="20" w:after="20" w:line="254" w:lineRule="auto"/>
            </w:pPr>
            <w:r>
              <w:rPr>
                <w:rFonts w:ascii="Carlito" w:hAnsi="Carlito"/>
                <w:b w:val="0"/>
                <w:i w:val="0"/>
                <w:sz w:val="19"/>
              </w:rPr>
              <w:t>1</w:t>
            </w:r>
          </w:p>
        </w:tc>
        <w:tc>
          <w:tcPr>
            <w:tcW w:type="dxa" w:w="1872"/>
          </w:tcPr>
          <w:p>
            <w:pPr>
              <w:spacing w:before="20" w:after="20" w:line="254" w:lineRule="auto"/>
            </w:pPr>
            <w:r>
              <w:rPr>
                <w:rFonts w:ascii="Carlito" w:hAnsi="Carlito"/>
                <w:b w:val="0"/>
                <w:i w:val="0"/>
                <w:sz w:val="19"/>
              </w:rPr>
              <w:t>Procedure current and matched to practice</w:t>
            </w:r>
          </w:p>
        </w:tc>
        <w:tc>
          <w:tcPr>
            <w:tcW w:type="dxa" w:w="4493"/>
          </w:tcPr>
          <w:p>
            <w:pPr>
              <w:spacing w:before="20" w:after="20" w:line="254" w:lineRule="auto"/>
            </w:pPr>
            <w:r>
              <w:rPr>
                <w:rFonts w:ascii="Carlito" w:hAnsi="Carlito"/>
                <w:b w:val="0"/>
                <w:i w:val="0"/>
                <w:sz w:val="19"/>
              </w:rPr>
              <w:t>SOP version, effective date, change history, training records for the current revision</w:t>
            </w:r>
          </w:p>
          <w:p>
            <w:pPr>
              <w:spacing w:before="20" w:after="20" w:line="254" w:lineRule="auto"/>
            </w:pPr>
            <w:r>
              <w:rPr>
                <w:rFonts w:ascii="Carlito" w:hAnsi="Carlito"/>
                <w:b w:val="0"/>
                <w:i/>
                <w:color w:val="4A5B63"/>
                <w:sz w:val="17"/>
              </w:rPr>
              <w:t>Check that the procedure does not still require a validated-signal notification to EMA and the NCAs; that obligation was deleted with effect from 12 August 2025.</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2</w:t>
            </w:r>
          </w:p>
        </w:tc>
        <w:tc>
          <w:tcPr>
            <w:tcW w:type="dxa" w:w="1872"/>
          </w:tcPr>
          <w:p>
            <w:pPr>
              <w:spacing w:before="20" w:after="20" w:line="254" w:lineRule="auto"/>
            </w:pPr>
            <w:r>
              <w:rPr>
                <w:rFonts w:ascii="Carlito" w:hAnsi="Carlito"/>
                <w:b w:val="0"/>
                <w:i w:val="0"/>
                <w:sz w:val="19"/>
              </w:rPr>
              <w:t>Source inventory justified</w:t>
            </w:r>
          </w:p>
        </w:tc>
        <w:tc>
          <w:tcPr>
            <w:tcW w:type="dxa" w:w="4493"/>
          </w:tcPr>
          <w:p>
            <w:pPr>
              <w:spacing w:before="20" w:after="20" w:line="254" w:lineRule="auto"/>
            </w:pPr>
            <w:r>
              <w:rPr>
                <w:rFonts w:ascii="Carlito" w:hAnsi="Carlito"/>
                <w:b w:val="0"/>
                <w:i w:val="0"/>
                <w:sz w:val="19"/>
              </w:rPr>
              <w:t>Per-product source list with rationale, screening calendar, completion records</w:t>
            </w:r>
          </w:p>
          <w:p>
            <w:pPr>
              <w:spacing w:before="20" w:after="20" w:line="254" w:lineRule="auto"/>
            </w:pPr>
            <w:r>
              <w:rPr>
                <w:rFonts w:ascii="Carlito" w:hAnsi="Carlito"/>
                <w:b w:val="0"/>
                <w:i/>
                <w:color w:val="4A5B63"/>
                <w:sz w:val="17"/>
              </w:rPr>
              <w:t>Cross-reference T-03 and T-02.</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3</w:t>
            </w:r>
          </w:p>
        </w:tc>
        <w:tc>
          <w:tcPr>
            <w:tcW w:type="dxa" w:w="1872"/>
          </w:tcPr>
          <w:p>
            <w:pPr>
              <w:spacing w:before="20" w:after="20" w:line="254" w:lineRule="auto"/>
            </w:pPr>
            <w:r>
              <w:rPr>
                <w:rFonts w:ascii="Carlito" w:hAnsi="Carlito"/>
                <w:b w:val="0"/>
                <w:i w:val="0"/>
                <w:sz w:val="19"/>
              </w:rPr>
              <w:t>EudraVigilance monitoring</w:t>
            </w:r>
          </w:p>
        </w:tc>
        <w:tc>
          <w:tcPr>
            <w:tcW w:type="dxa" w:w="4493"/>
          </w:tcPr>
          <w:p>
            <w:pPr>
              <w:spacing w:before="20" w:after="20" w:line="254" w:lineRule="auto"/>
            </w:pPr>
            <w:r>
              <w:rPr>
                <w:rFonts w:ascii="Carlito" w:hAnsi="Carlito"/>
                <w:b w:val="0"/>
                <w:i w:val="0"/>
                <w:sz w:val="19"/>
              </w:rPr>
              <w:t>Frequency, its risk-based justification, records for the last four cycles</w:t>
            </w:r>
          </w:p>
          <w:p>
            <w:pPr>
              <w:spacing w:before="20" w:after="20" w:line="254" w:lineRule="auto"/>
            </w:pPr>
            <w:r>
              <w:rPr>
                <w:rFonts w:ascii="Carlito" w:hAnsi="Carlito"/>
                <w:b w:val="0"/>
                <w:i/>
                <w:color w:val="4A5B63"/>
                <w:sz w:val="17"/>
              </w:rPr>
              <w:t>Monitoring is a general obligation on all MAHs with EEA-authorised products under CIR (EU) 2025/1466, at a frequency proportionate to product risk. It is not a pilot and is not restricted to a list.</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4</w:t>
            </w:r>
          </w:p>
        </w:tc>
        <w:tc>
          <w:tcPr>
            <w:tcW w:type="dxa" w:w="1872"/>
          </w:tcPr>
          <w:p>
            <w:pPr>
              <w:spacing w:before="20" w:after="20" w:line="254" w:lineRule="auto"/>
            </w:pPr>
            <w:r>
              <w:rPr>
                <w:rFonts w:ascii="Carlito" w:hAnsi="Carlito"/>
                <w:b w:val="0"/>
                <w:i w:val="0"/>
                <w:sz w:val="19"/>
              </w:rPr>
              <w:t>Signal record reconstructable</w:t>
            </w:r>
          </w:p>
        </w:tc>
        <w:tc>
          <w:tcPr>
            <w:tcW w:type="dxa" w:w="4493"/>
          </w:tcPr>
          <w:p>
            <w:pPr>
              <w:spacing w:before="20" w:after="20" w:line="254" w:lineRule="auto"/>
            </w:pPr>
            <w:r>
              <w:rPr>
                <w:rFonts w:ascii="Carlito" w:hAnsi="Carlito"/>
                <w:b w:val="0"/>
                <w:i w:val="0"/>
                <w:sz w:val="19"/>
              </w:rPr>
              <w:t>Tracker extract, frozen data cut, search parameters, line listing, assessment report</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5</w:t>
            </w:r>
          </w:p>
        </w:tc>
        <w:tc>
          <w:tcPr>
            <w:tcW w:type="dxa" w:w="1872"/>
          </w:tcPr>
          <w:p>
            <w:pPr>
              <w:spacing w:before="20" w:after="20" w:line="254" w:lineRule="auto"/>
            </w:pPr>
            <w:r>
              <w:rPr>
                <w:rFonts w:ascii="Carlito" w:hAnsi="Carlito"/>
                <w:b w:val="0"/>
                <w:i w:val="0"/>
                <w:sz w:val="19"/>
              </w:rPr>
              <w:t>Decisions authorized</w:t>
            </w:r>
          </w:p>
        </w:tc>
        <w:tc>
          <w:tcPr>
            <w:tcW w:type="dxa" w:w="4493"/>
          </w:tcPr>
          <w:p>
            <w:pPr>
              <w:spacing w:before="20" w:after="20" w:line="254" w:lineRule="auto"/>
            </w:pPr>
            <w:r>
              <w:rPr>
                <w:rFonts w:ascii="Carlito" w:hAnsi="Carlito"/>
                <w:b w:val="0"/>
                <w:i w:val="0"/>
                <w:sz w:val="19"/>
              </w:rPr>
              <w:t>Minutes, quorum, medical position holder, dissent recorded</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6</w:t>
            </w:r>
          </w:p>
        </w:tc>
        <w:tc>
          <w:tcPr>
            <w:tcW w:type="dxa" w:w="1872"/>
          </w:tcPr>
          <w:p>
            <w:pPr>
              <w:spacing w:before="20" w:after="20" w:line="254" w:lineRule="auto"/>
            </w:pPr>
            <w:r>
              <w:rPr>
                <w:rFonts w:ascii="Carlito" w:hAnsi="Carlito"/>
                <w:b w:val="0"/>
                <w:i w:val="0"/>
                <w:sz w:val="19"/>
              </w:rPr>
              <w:t>Closure defensible</w:t>
            </w:r>
          </w:p>
        </w:tc>
        <w:tc>
          <w:tcPr>
            <w:tcW w:type="dxa" w:w="4493"/>
          </w:tcPr>
          <w:p>
            <w:pPr>
              <w:spacing w:before="20" w:after="20" w:line="254" w:lineRule="auto"/>
            </w:pPr>
            <w:r>
              <w:rPr>
                <w:rFonts w:ascii="Carlito" w:hAnsi="Carlito"/>
                <w:b w:val="0"/>
                <w:i w:val="0"/>
                <w:sz w:val="19"/>
              </w:rPr>
              <w:t>Closure memo with rationale, monitoring arrangement, objective reopening triggers</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7</w:t>
            </w:r>
          </w:p>
        </w:tc>
        <w:tc>
          <w:tcPr>
            <w:tcW w:type="dxa" w:w="1872"/>
          </w:tcPr>
          <w:p>
            <w:pPr>
              <w:spacing w:before="20" w:after="20" w:line="254" w:lineRule="auto"/>
            </w:pPr>
            <w:r>
              <w:rPr>
                <w:rFonts w:ascii="Carlito" w:hAnsi="Carlito"/>
                <w:b w:val="0"/>
                <w:i w:val="0"/>
                <w:sz w:val="19"/>
              </w:rPr>
              <w:t>Triggers operational</w:t>
            </w:r>
          </w:p>
        </w:tc>
        <w:tc>
          <w:tcPr>
            <w:tcW w:type="dxa" w:w="4493"/>
          </w:tcPr>
          <w:p>
            <w:pPr>
              <w:spacing w:before="20" w:after="20" w:line="254" w:lineRule="auto"/>
            </w:pPr>
            <w:r>
              <w:rPr>
                <w:rFonts w:ascii="Carlito" w:hAnsi="Carlito"/>
                <w:b w:val="0"/>
                <w:i w:val="0"/>
                <w:sz w:val="19"/>
              </w:rPr>
              <w:t>The system rule, standing report, or routing that would detect each trigger</w:t>
            </w:r>
          </w:p>
          <w:p>
            <w:pPr>
              <w:spacing w:before="20" w:after="20" w:line="254" w:lineRule="auto"/>
            </w:pPr>
            <w:r>
              <w:rPr>
                <w:rFonts w:ascii="Carlito" w:hAnsi="Carlito"/>
                <w:b w:val="0"/>
                <w:i/>
                <w:color w:val="4A5B63"/>
                <w:sz w:val="17"/>
              </w:rPr>
              <w:t>This is where most files fail. A trigger with no detection mechanism is an aspiration.</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8</w:t>
            </w:r>
          </w:p>
        </w:tc>
        <w:tc>
          <w:tcPr>
            <w:tcW w:type="dxa" w:w="1872"/>
          </w:tcPr>
          <w:p>
            <w:pPr>
              <w:spacing w:before="20" w:after="20" w:line="254" w:lineRule="auto"/>
            </w:pPr>
            <w:r>
              <w:rPr>
                <w:rFonts w:ascii="Carlito" w:hAnsi="Carlito"/>
                <w:b w:val="0"/>
                <w:i w:val="0"/>
                <w:sz w:val="19"/>
              </w:rPr>
              <w:t>Actions completed</w:t>
            </w:r>
          </w:p>
        </w:tc>
        <w:tc>
          <w:tcPr>
            <w:tcW w:type="dxa" w:w="4493"/>
          </w:tcPr>
          <w:p>
            <w:pPr>
              <w:spacing w:before="20" w:after="20" w:line="254" w:lineRule="auto"/>
            </w:pPr>
            <w:r>
              <w:rPr>
                <w:rFonts w:ascii="Carlito" w:hAnsi="Carlito"/>
                <w:b w:val="0"/>
                <w:i w:val="0"/>
                <w:sz w:val="19"/>
              </w:rPr>
              <w:t>Action log with owners and dates, submission and communication records</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9</w:t>
            </w:r>
          </w:p>
        </w:tc>
        <w:tc>
          <w:tcPr>
            <w:tcW w:type="dxa" w:w="1872"/>
          </w:tcPr>
          <w:p>
            <w:pPr>
              <w:spacing w:before="20" w:after="20" w:line="254" w:lineRule="auto"/>
            </w:pPr>
            <w:r>
              <w:rPr>
                <w:rFonts w:ascii="Carlito" w:hAnsi="Carlito"/>
                <w:b w:val="0"/>
                <w:i w:val="0"/>
                <w:sz w:val="19"/>
              </w:rPr>
              <w:t>Deviations and CAPA</w:t>
            </w:r>
          </w:p>
        </w:tc>
        <w:tc>
          <w:tcPr>
            <w:tcW w:type="dxa" w:w="4493"/>
          </w:tcPr>
          <w:p>
            <w:pPr>
              <w:spacing w:before="20" w:after="20" w:line="254" w:lineRule="auto"/>
            </w:pPr>
            <w:r>
              <w:rPr>
                <w:rFonts w:ascii="Carlito" w:hAnsi="Carlito"/>
                <w:b w:val="0"/>
                <w:i w:val="0"/>
                <w:sz w:val="19"/>
              </w:rPr>
              <w:t>Deviation log, impact assessment, retrospective review derivation, effectiveness checks</w:t>
            </w:r>
          </w:p>
        </w:tc>
        <w:tc>
          <w:tcPr>
            <w:tcW w:type="dxa" w:w="936"/>
          </w:tcPr>
          <w:p>
            <w:pPr>
              <w:spacing w:before="20" w:after="20" w:line="254" w:lineRule="auto"/>
            </w:pPr>
          </w:p>
        </w:tc>
        <w:tc>
          <w:tcPr>
            <w:tcW w:type="dxa" w:w="1685"/>
          </w:tcPr>
          <w:p>
            <w:pPr>
              <w:spacing w:before="20" w:after="20" w:line="254" w:lineRule="auto"/>
            </w:pPr>
          </w:p>
        </w:tc>
      </w:tr>
      <w:tr>
        <w:tc>
          <w:tcPr>
            <w:tcW w:type="dxa" w:w="374"/>
          </w:tcPr>
          <w:p>
            <w:pPr>
              <w:spacing w:before="20" w:after="20" w:line="254" w:lineRule="auto"/>
            </w:pPr>
            <w:r>
              <w:rPr>
                <w:rFonts w:ascii="Carlito" w:hAnsi="Carlito"/>
                <w:b w:val="0"/>
                <w:i w:val="0"/>
                <w:sz w:val="19"/>
              </w:rPr>
              <w:t>10</w:t>
            </w:r>
          </w:p>
        </w:tc>
        <w:tc>
          <w:tcPr>
            <w:tcW w:type="dxa" w:w="1872"/>
          </w:tcPr>
          <w:p>
            <w:pPr>
              <w:spacing w:before="20" w:after="20" w:line="254" w:lineRule="auto"/>
            </w:pPr>
            <w:r>
              <w:rPr>
                <w:rFonts w:ascii="Carlito" w:hAnsi="Carlito"/>
                <w:b w:val="0"/>
                <w:i w:val="0"/>
                <w:sz w:val="19"/>
              </w:rPr>
              <w:t>Vendor oversight</w:t>
            </w:r>
          </w:p>
        </w:tc>
        <w:tc>
          <w:tcPr>
            <w:tcW w:type="dxa" w:w="4493"/>
          </w:tcPr>
          <w:p>
            <w:pPr>
              <w:spacing w:before="20" w:after="20" w:line="254" w:lineRule="auto"/>
            </w:pPr>
            <w:r>
              <w:rPr>
                <w:rFonts w:ascii="Carlito" w:hAnsi="Carlito"/>
                <w:b w:val="0"/>
                <w:i w:val="0"/>
                <w:sz w:val="19"/>
              </w:rPr>
              <w:t>SDEA, audit reports, metrics reviewed, escalation records, inspection-access clause</w:t>
            </w:r>
          </w:p>
        </w:tc>
        <w:tc>
          <w:tcPr>
            <w:tcW w:type="dxa" w:w="936"/>
          </w:tcPr>
          <w:p>
            <w:pPr>
              <w:spacing w:before="20" w:after="20" w:line="254" w:lineRule="auto"/>
            </w:pPr>
          </w:p>
        </w:tc>
        <w:tc>
          <w:tcPr>
            <w:tcW w:type="dxa" w:w="1685"/>
          </w:tcPr>
          <w:p>
            <w:pPr>
              <w:spacing w:before="20" w:after="20" w:line="254" w:lineRule="auto"/>
            </w:pPr>
          </w:p>
        </w:tc>
      </w:tr>
    </w:tbl>
    <w:p>
      <w:pPr>
        <w:spacing w:after="40"/>
      </w:pPr>
    </w:p>
    <w:p>
      <w:pPr>
        <w:pStyle w:val="Heading1"/>
      </w:pPr>
      <w:r>
        <w:t>Part B — Mock inspection questions</w:t>
      </w:r>
    </w:p>
    <w:p>
      <w:pPr>
        <w:pStyle w:val="SubtleNote"/>
      </w:pPr>
      <w:r>
        <w:t>Worked on the Pramtelide pancreatitis signal (a fictional product used throughout this book): closed as refuted for the broad event at the Year 2 month 3 data cut, with the severity question documented as not meeting the validation threshold and four objective reopening triggers recorded; at the Year 3 month 9 cut, four new well-documented necrotizing cases and one positive rechallenge met triggers (a) and (b), and the signal was reopened 14 days after the fourth case was identified. Substitute your own closed signal.</w:t>
      </w:r>
    </w:p>
    <w:tbl>
      <w:tblPr>
        <w:tblStyle w:val="ToolkitTable"/>
        <w:tblW w:type="auto" w:w="0"/>
        <w:jc w:val="left"/>
        <w:tblLayout w:type="fixed"/>
        <w:tblLook w:val="04A0" w:firstRow="1" w:lastRow="0" w:firstColumn="0" w:lastColumn="0" w:noHBand="0" w:noVBand="1"/>
      </w:tblPr>
      <w:tblGrid>
        <w:gridCol w:w="374"/>
        <w:gridCol w:w="3744"/>
        <w:gridCol w:w="1872"/>
        <w:gridCol w:w="2059"/>
        <w:gridCol w:w="1310"/>
      </w:tblGrid>
      <w:tr>
        <w:trPr>
          <w:tblHeader/>
        </w:trPr>
        <w:tc>
          <w:tcPr>
            <w:tcW w:type="dxa" w:w="374"/>
          </w:tcPr>
          <w:p>
            <w:pPr>
              <w:spacing w:before="20" w:after="20" w:line="254" w:lineRule="auto"/>
            </w:pPr>
            <w:r>
              <w:rPr>
                <w:rFonts w:ascii="Carlito" w:hAnsi="Carlito"/>
                <w:b/>
                <w:i w:val="0"/>
                <w:color w:val="FFFFFF"/>
                <w:sz w:val="19"/>
              </w:rPr>
              <w:t>#</w:t>
            </w:r>
          </w:p>
        </w:tc>
        <w:tc>
          <w:tcPr>
            <w:tcW w:type="dxa" w:w="3744"/>
          </w:tcPr>
          <w:p>
            <w:pPr>
              <w:spacing w:before="20" w:after="20" w:line="254" w:lineRule="auto"/>
            </w:pPr>
            <w:r>
              <w:rPr>
                <w:rFonts w:ascii="Carlito" w:hAnsi="Carlito"/>
                <w:b/>
                <w:i w:val="0"/>
                <w:color w:val="FFFFFF"/>
                <w:sz w:val="19"/>
              </w:rPr>
              <w:t>Mock inspector question</w:t>
            </w:r>
          </w:p>
        </w:tc>
        <w:tc>
          <w:tcPr>
            <w:tcW w:type="dxa" w:w="1872"/>
          </w:tcPr>
          <w:p>
            <w:pPr>
              <w:spacing w:before="20" w:after="20" w:line="254" w:lineRule="auto"/>
            </w:pPr>
            <w:r>
              <w:rPr>
                <w:rFonts w:ascii="Carlito" w:hAnsi="Carlito"/>
                <w:b/>
                <w:i w:val="0"/>
                <w:color w:val="FFFFFF"/>
                <w:sz w:val="19"/>
              </w:rPr>
              <w:t>What it tests</w:t>
            </w:r>
          </w:p>
        </w:tc>
        <w:tc>
          <w:tcPr>
            <w:tcW w:type="dxa" w:w="2059"/>
          </w:tcPr>
          <w:p>
            <w:pPr>
              <w:spacing w:before="20" w:after="20" w:line="254" w:lineRule="auto"/>
            </w:pPr>
            <w:r>
              <w:rPr>
                <w:rFonts w:ascii="Carlito" w:hAnsi="Carlito"/>
                <w:b/>
                <w:i w:val="0"/>
                <w:color w:val="FFFFFF"/>
                <w:sz w:val="19"/>
              </w:rPr>
              <w:t>Answer given</w:t>
            </w:r>
          </w:p>
        </w:tc>
        <w:tc>
          <w:tcPr>
            <w:tcW w:type="dxa" w:w="1310"/>
          </w:tcPr>
          <w:p>
            <w:pPr>
              <w:spacing w:before="20" w:after="20" w:line="254" w:lineRule="auto"/>
            </w:pPr>
            <w:r>
              <w:rPr>
                <w:rFonts w:ascii="Carlito" w:hAnsi="Carlito"/>
                <w:b/>
                <w:i w:val="0"/>
                <w:color w:val="FFFFFF"/>
                <w:sz w:val="19"/>
              </w:rPr>
              <w:t>Does the record support it?</w:t>
            </w:r>
          </w:p>
        </w:tc>
      </w:tr>
      <w:tr>
        <w:tc>
          <w:tcPr>
            <w:tcW w:type="dxa" w:w="374"/>
          </w:tcPr>
          <w:p>
            <w:pPr>
              <w:spacing w:before="20" w:after="20" w:line="254" w:lineRule="auto"/>
            </w:pPr>
            <w:r>
              <w:rPr>
                <w:rFonts w:ascii="Carlito" w:hAnsi="Carlito"/>
                <w:b w:val="0"/>
                <w:i w:val="0"/>
                <w:sz w:val="19"/>
              </w:rPr>
              <w:t>1</w:t>
            </w:r>
          </w:p>
        </w:tc>
        <w:tc>
          <w:tcPr>
            <w:tcW w:type="dxa" w:w="3744"/>
          </w:tcPr>
          <w:p>
            <w:pPr>
              <w:spacing w:before="20" w:after="20" w:line="254" w:lineRule="auto"/>
            </w:pPr>
            <w:r>
              <w:rPr>
                <w:rFonts w:ascii="Carlito" w:hAnsi="Carlito"/>
                <w:b w:val="0"/>
                <w:i w:val="0"/>
                <w:sz w:val="19"/>
              </w:rPr>
              <w:t>Who authorized closure of this signal, on what date, and under which procedure version?</w:t>
            </w:r>
          </w:p>
        </w:tc>
        <w:tc>
          <w:tcPr>
            <w:tcW w:type="dxa" w:w="1872"/>
          </w:tcPr>
          <w:p>
            <w:pPr>
              <w:spacing w:before="20" w:after="20" w:line="254" w:lineRule="auto"/>
            </w:pPr>
            <w:r>
              <w:rPr>
                <w:rFonts w:ascii="Carlito" w:hAnsi="Carlito"/>
                <w:b w:val="0"/>
                <w:i w:val="0"/>
                <w:sz w:val="19"/>
              </w:rPr>
              <w:t>Decision rights, version control</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2</w:t>
            </w:r>
          </w:p>
        </w:tc>
        <w:tc>
          <w:tcPr>
            <w:tcW w:type="dxa" w:w="3744"/>
          </w:tcPr>
          <w:p>
            <w:pPr>
              <w:spacing w:before="20" w:after="20" w:line="254" w:lineRule="auto"/>
            </w:pPr>
            <w:r>
              <w:rPr>
                <w:rFonts w:ascii="Carlito" w:hAnsi="Carlito"/>
                <w:b w:val="0"/>
                <w:i w:val="0"/>
                <w:sz w:val="19"/>
              </w:rPr>
              <w:t>Show me the frozen data cut and the search parameters that produced the retrieved reports.</w:t>
            </w:r>
          </w:p>
        </w:tc>
        <w:tc>
          <w:tcPr>
            <w:tcW w:type="dxa" w:w="1872"/>
          </w:tcPr>
          <w:p>
            <w:pPr>
              <w:spacing w:before="20" w:after="20" w:line="254" w:lineRule="auto"/>
            </w:pPr>
            <w:r>
              <w:rPr>
                <w:rFonts w:ascii="Carlito" w:hAnsi="Carlito"/>
                <w:b w:val="0"/>
                <w:i w:val="0"/>
                <w:sz w:val="19"/>
              </w:rPr>
              <w:t>Reconstructability</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3</w:t>
            </w:r>
          </w:p>
        </w:tc>
        <w:tc>
          <w:tcPr>
            <w:tcW w:type="dxa" w:w="3744"/>
          </w:tcPr>
          <w:p>
            <w:pPr>
              <w:spacing w:before="20" w:after="20" w:line="254" w:lineRule="auto"/>
            </w:pPr>
            <w:r>
              <w:rPr>
                <w:rFonts w:ascii="Carlito" w:hAnsi="Carlito"/>
                <w:b w:val="0"/>
                <w:i w:val="0"/>
                <w:sz w:val="19"/>
              </w:rPr>
              <w:t>Most of the reports lacked diagnostic criteria. What targeted follow-up was issued, to whom, and what came back?</w:t>
            </w:r>
          </w:p>
        </w:tc>
        <w:tc>
          <w:tcPr>
            <w:tcW w:type="dxa" w:w="1872"/>
          </w:tcPr>
          <w:p>
            <w:pPr>
              <w:spacing w:before="20" w:after="20" w:line="254" w:lineRule="auto"/>
            </w:pPr>
            <w:r>
              <w:rPr>
                <w:rFonts w:ascii="Carlito" w:hAnsi="Carlito"/>
                <w:b w:val="0"/>
                <w:i w:val="0"/>
                <w:sz w:val="19"/>
              </w:rPr>
              <w:t>Case quality management</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4</w:t>
            </w:r>
          </w:p>
        </w:tc>
        <w:tc>
          <w:tcPr>
            <w:tcW w:type="dxa" w:w="3744"/>
          </w:tcPr>
          <w:p>
            <w:pPr>
              <w:spacing w:before="20" w:after="20" w:line="254" w:lineRule="auto"/>
            </w:pPr>
            <w:r>
              <w:rPr>
                <w:rFonts w:ascii="Carlito" w:hAnsi="Carlito"/>
                <w:b w:val="0"/>
                <w:i w:val="0"/>
                <w:sz w:val="19"/>
              </w:rPr>
              <w:t>Your closure says the severity question did not meet the validation threshold. Where is that threshold defined, and who applied it?</w:t>
            </w:r>
          </w:p>
        </w:tc>
        <w:tc>
          <w:tcPr>
            <w:tcW w:type="dxa" w:w="1872"/>
          </w:tcPr>
          <w:p>
            <w:pPr>
              <w:spacing w:before="20" w:after="20" w:line="254" w:lineRule="auto"/>
            </w:pPr>
            <w:r>
              <w:rPr>
                <w:rFonts w:ascii="Carlito" w:hAnsi="Carlito"/>
                <w:b w:val="0"/>
                <w:i w:val="0"/>
                <w:sz w:val="19"/>
              </w:rPr>
              <w:t>Criteria exist and were applied</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5</w:t>
            </w:r>
          </w:p>
        </w:tc>
        <w:tc>
          <w:tcPr>
            <w:tcW w:type="dxa" w:w="3744"/>
          </w:tcPr>
          <w:p>
            <w:pPr>
              <w:spacing w:before="20" w:after="20" w:line="254" w:lineRule="auto"/>
            </w:pPr>
            <w:r>
              <w:rPr>
                <w:rFonts w:ascii="Carlito" w:hAnsi="Carlito"/>
                <w:b w:val="0"/>
                <w:i w:val="0"/>
                <w:sz w:val="19"/>
              </w:rPr>
              <w:t>Take me through trigger (a). What system rule or standing report would have detected three new well-documented cases?</w:t>
            </w:r>
          </w:p>
        </w:tc>
        <w:tc>
          <w:tcPr>
            <w:tcW w:type="dxa" w:w="1872"/>
          </w:tcPr>
          <w:p>
            <w:pPr>
              <w:spacing w:before="20" w:after="20" w:line="254" w:lineRule="auto"/>
            </w:pPr>
            <w:r>
              <w:rPr>
                <w:rFonts w:ascii="Carlito" w:hAnsi="Carlito"/>
                <w:b w:val="0"/>
                <w:i w:val="0"/>
                <w:sz w:val="19"/>
              </w:rPr>
              <w:t>Triggers are operational, not aspirational</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6</w:t>
            </w:r>
          </w:p>
        </w:tc>
        <w:tc>
          <w:tcPr>
            <w:tcW w:type="dxa" w:w="3744"/>
          </w:tcPr>
          <w:p>
            <w:pPr>
              <w:spacing w:before="20" w:after="20" w:line="254" w:lineRule="auto"/>
            </w:pPr>
            <w:r>
              <w:rPr>
                <w:rFonts w:ascii="Carlito" w:hAnsi="Carlito"/>
                <w:b w:val="0"/>
                <w:i w:val="0"/>
                <w:sz w:val="19"/>
              </w:rPr>
              <w:t>The qualifying case was identified on a date you can show me. Reopening was 14 days later. Take me through those 14 days.</w:t>
            </w:r>
          </w:p>
        </w:tc>
        <w:tc>
          <w:tcPr>
            <w:tcW w:type="dxa" w:w="1872"/>
          </w:tcPr>
          <w:p>
            <w:pPr>
              <w:spacing w:before="20" w:after="20" w:line="254" w:lineRule="auto"/>
            </w:pPr>
            <w:r>
              <w:rPr>
                <w:rFonts w:ascii="Carlito" w:hAnsi="Carlito"/>
                <w:b w:val="0"/>
                <w:i w:val="0"/>
                <w:sz w:val="19"/>
              </w:rPr>
              <w:t>Timeliness and escalation</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7</w:t>
            </w:r>
          </w:p>
        </w:tc>
        <w:tc>
          <w:tcPr>
            <w:tcW w:type="dxa" w:w="3744"/>
          </w:tcPr>
          <w:p>
            <w:pPr>
              <w:spacing w:before="20" w:after="20" w:line="254" w:lineRule="auto"/>
            </w:pPr>
            <w:r>
              <w:rPr>
                <w:rFonts w:ascii="Carlito" w:hAnsi="Carlito"/>
                <w:b w:val="0"/>
                <w:i w:val="0"/>
                <w:sz w:val="19"/>
              </w:rPr>
              <w:t>Two periodic reports covered the interval between closure and reopening. What did they say about the event, and who reconciled that against the signal record?</w:t>
            </w:r>
          </w:p>
        </w:tc>
        <w:tc>
          <w:tcPr>
            <w:tcW w:type="dxa" w:w="1872"/>
          </w:tcPr>
          <w:p>
            <w:pPr>
              <w:spacing w:before="20" w:after="20" w:line="254" w:lineRule="auto"/>
            </w:pPr>
            <w:r>
              <w:rPr>
                <w:rFonts w:ascii="Carlito" w:hAnsi="Carlito"/>
                <w:b w:val="0"/>
                <w:i w:val="0"/>
                <w:sz w:val="19"/>
              </w:rPr>
              <w:t>Cross-document consistency</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8</w:t>
            </w:r>
          </w:p>
        </w:tc>
        <w:tc>
          <w:tcPr>
            <w:tcW w:type="dxa" w:w="3744"/>
          </w:tcPr>
          <w:p>
            <w:pPr>
              <w:spacing w:before="20" w:after="20" w:line="254" w:lineRule="auto"/>
            </w:pPr>
            <w:r>
              <w:rPr>
                <w:rFonts w:ascii="Carlito" w:hAnsi="Carlito"/>
                <w:b w:val="0"/>
                <w:i w:val="0"/>
                <w:sz w:val="19"/>
              </w:rPr>
              <w:t>How would a positive rechallenge report reach the person responsible for this signal? Show me the routing.</w:t>
            </w:r>
          </w:p>
        </w:tc>
        <w:tc>
          <w:tcPr>
            <w:tcW w:type="dxa" w:w="1872"/>
          </w:tcPr>
          <w:p>
            <w:pPr>
              <w:spacing w:before="20" w:after="20" w:line="254" w:lineRule="auto"/>
            </w:pPr>
            <w:r>
              <w:rPr>
                <w:rFonts w:ascii="Carlito" w:hAnsi="Carlito"/>
                <w:b w:val="0"/>
                <w:i w:val="0"/>
                <w:sz w:val="19"/>
              </w:rPr>
              <w:t>Interface between case processing and signal management</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9</w:t>
            </w:r>
          </w:p>
        </w:tc>
        <w:tc>
          <w:tcPr>
            <w:tcW w:type="dxa" w:w="3744"/>
          </w:tcPr>
          <w:p>
            <w:pPr>
              <w:spacing w:before="20" w:after="20" w:line="254" w:lineRule="auto"/>
            </w:pPr>
            <w:r>
              <w:rPr>
                <w:rFonts w:ascii="Carlito" w:hAnsi="Carlito"/>
                <w:b w:val="0"/>
                <w:i w:val="0"/>
                <w:sz w:val="19"/>
              </w:rPr>
              <w:t>Show me the training and competency record for the reviewer who assessed these cases.</w:t>
            </w:r>
          </w:p>
        </w:tc>
        <w:tc>
          <w:tcPr>
            <w:tcW w:type="dxa" w:w="1872"/>
          </w:tcPr>
          <w:p>
            <w:pPr>
              <w:spacing w:before="20" w:after="20" w:line="254" w:lineRule="auto"/>
            </w:pPr>
            <w:r>
              <w:rPr>
                <w:rFonts w:ascii="Carlito" w:hAnsi="Carlito"/>
                <w:b w:val="0"/>
                <w:i w:val="0"/>
                <w:sz w:val="19"/>
              </w:rPr>
              <w:t>Qualified personnel</w:t>
            </w:r>
          </w:p>
        </w:tc>
        <w:tc>
          <w:tcPr>
            <w:tcW w:type="dxa" w:w="2059"/>
          </w:tcPr>
          <w:p>
            <w:pPr>
              <w:spacing w:before="20" w:after="20" w:line="254" w:lineRule="auto"/>
            </w:pPr>
          </w:p>
        </w:tc>
        <w:tc>
          <w:tcPr>
            <w:tcW w:type="dxa" w:w="1310"/>
          </w:tcPr>
          <w:p>
            <w:pPr>
              <w:spacing w:before="20" w:after="20" w:line="254" w:lineRule="auto"/>
            </w:pPr>
          </w:p>
        </w:tc>
      </w:tr>
      <w:tr>
        <w:tc>
          <w:tcPr>
            <w:tcW w:type="dxa" w:w="374"/>
          </w:tcPr>
          <w:p>
            <w:pPr>
              <w:spacing w:before="20" w:after="20" w:line="254" w:lineRule="auto"/>
            </w:pPr>
            <w:r>
              <w:rPr>
                <w:rFonts w:ascii="Carlito" w:hAnsi="Carlito"/>
                <w:b w:val="0"/>
                <w:i w:val="0"/>
                <w:sz w:val="19"/>
              </w:rPr>
              <w:t>10</w:t>
            </w:r>
          </w:p>
        </w:tc>
        <w:tc>
          <w:tcPr>
            <w:tcW w:type="dxa" w:w="3744"/>
          </w:tcPr>
          <w:p>
            <w:pPr>
              <w:spacing w:before="20" w:after="20" w:line="254" w:lineRule="auto"/>
            </w:pPr>
            <w:r>
              <w:rPr>
                <w:rFonts w:ascii="Carlito" w:hAnsi="Carlito"/>
                <w:b w:val="0"/>
                <w:i w:val="0"/>
                <w:sz w:val="19"/>
              </w:rPr>
              <w:t>The reassessment concluded a dose-related risk. Where does that classification appear now in the RMP, the current periodic report and the product information, and on what dates?</w:t>
            </w:r>
          </w:p>
        </w:tc>
        <w:tc>
          <w:tcPr>
            <w:tcW w:type="dxa" w:w="1872"/>
          </w:tcPr>
          <w:p>
            <w:pPr>
              <w:spacing w:before="20" w:after="20" w:line="254" w:lineRule="auto"/>
            </w:pPr>
            <w:r>
              <w:rPr>
                <w:rFonts w:ascii="Carlito" w:hAnsi="Carlito"/>
                <w:b w:val="0"/>
                <w:i w:val="0"/>
                <w:sz w:val="19"/>
              </w:rPr>
              <w:t>Propagation and implementation</w:t>
            </w:r>
          </w:p>
        </w:tc>
        <w:tc>
          <w:tcPr>
            <w:tcW w:type="dxa" w:w="2059"/>
          </w:tcPr>
          <w:p>
            <w:pPr>
              <w:spacing w:before="20" w:after="20" w:line="254" w:lineRule="auto"/>
            </w:pPr>
          </w:p>
        </w:tc>
        <w:tc>
          <w:tcPr>
            <w:tcW w:type="dxa" w:w="1310"/>
          </w:tcPr>
          <w:p>
            <w:pPr>
              <w:spacing w:before="20" w:after="20" w:line="254" w:lineRule="auto"/>
            </w:pPr>
          </w:p>
        </w:tc>
      </w:tr>
    </w:tbl>
    <w:p>
      <w:pPr>
        <w:spacing w:after="40"/>
      </w:pPr>
    </w:p>
    <w:p>
      <w:pPr>
        <w:pStyle w:val="Heading1"/>
      </w:pPr>
      <w:r>
        <w:t>Part C — Findings and corrective actions</w:t>
      </w:r>
    </w:p>
    <w:tbl>
      <w:tblPr>
        <w:tblStyle w:val="ToolkitTable"/>
        <w:tblW w:type="auto" w:w="0"/>
        <w:jc w:val="left"/>
        <w:tblLayout w:type="fixed"/>
        <w:tblLook w:val="04A0" w:firstRow="1" w:lastRow="0" w:firstColumn="0" w:lastColumn="0" w:noHBand="0" w:noVBand="1"/>
      </w:tblPr>
      <w:tblGrid>
        <w:gridCol w:w="374"/>
        <w:gridCol w:w="2434"/>
        <w:gridCol w:w="1310"/>
        <w:gridCol w:w="1685"/>
        <w:gridCol w:w="2059"/>
        <w:gridCol w:w="936"/>
        <w:gridCol w:w="562"/>
      </w:tblGrid>
      <w:tr>
        <w:trPr>
          <w:tblHeader/>
        </w:trPr>
        <w:tc>
          <w:tcPr>
            <w:tcW w:type="dxa" w:w="374"/>
          </w:tcPr>
          <w:p>
            <w:pPr>
              <w:spacing w:before="20" w:after="20" w:line="254" w:lineRule="auto"/>
            </w:pPr>
            <w:r>
              <w:rPr>
                <w:rFonts w:ascii="Carlito" w:hAnsi="Carlito"/>
                <w:b/>
                <w:i w:val="0"/>
                <w:color w:val="FFFFFF"/>
                <w:sz w:val="19"/>
              </w:rPr>
              <w:t>#</w:t>
            </w:r>
          </w:p>
        </w:tc>
        <w:tc>
          <w:tcPr>
            <w:tcW w:type="dxa" w:w="2434"/>
          </w:tcPr>
          <w:p>
            <w:pPr>
              <w:spacing w:before="20" w:after="20" w:line="254" w:lineRule="auto"/>
            </w:pPr>
            <w:r>
              <w:rPr>
                <w:rFonts w:ascii="Carlito" w:hAnsi="Carlito"/>
                <w:b/>
                <w:i w:val="0"/>
                <w:color w:val="FFFFFF"/>
                <w:sz w:val="19"/>
              </w:rPr>
              <w:t>Finding</w:t>
            </w:r>
          </w:p>
        </w:tc>
        <w:tc>
          <w:tcPr>
            <w:tcW w:type="dxa" w:w="1310"/>
          </w:tcPr>
          <w:p>
            <w:pPr>
              <w:spacing w:before="20" w:after="20" w:line="254" w:lineRule="auto"/>
            </w:pPr>
            <w:r>
              <w:rPr>
                <w:rFonts w:ascii="Carlito" w:hAnsi="Carlito"/>
                <w:b/>
                <w:i w:val="0"/>
                <w:color w:val="FFFFFF"/>
                <w:sz w:val="19"/>
              </w:rPr>
              <w:t>Severity (company classification)</w:t>
            </w:r>
          </w:p>
        </w:tc>
        <w:tc>
          <w:tcPr>
            <w:tcW w:type="dxa" w:w="1685"/>
          </w:tcPr>
          <w:p>
            <w:pPr>
              <w:spacing w:before="20" w:after="20" w:line="254" w:lineRule="auto"/>
            </w:pPr>
            <w:r>
              <w:rPr>
                <w:rFonts w:ascii="Carlito" w:hAnsi="Carlito"/>
                <w:b/>
                <w:i w:val="0"/>
                <w:color w:val="FFFFFF"/>
                <w:sz w:val="19"/>
              </w:rPr>
              <w:t>Root cause</w:t>
            </w:r>
          </w:p>
        </w:tc>
        <w:tc>
          <w:tcPr>
            <w:tcW w:type="dxa" w:w="2059"/>
          </w:tcPr>
          <w:p>
            <w:pPr>
              <w:spacing w:before="20" w:after="20" w:line="254" w:lineRule="auto"/>
            </w:pPr>
            <w:r>
              <w:rPr>
                <w:rFonts w:ascii="Carlito" w:hAnsi="Carlito"/>
                <w:b/>
                <w:i w:val="0"/>
                <w:color w:val="FFFFFF"/>
                <w:sz w:val="19"/>
              </w:rPr>
              <w:t>Corrective action</w:t>
            </w:r>
          </w:p>
        </w:tc>
        <w:tc>
          <w:tcPr>
            <w:tcW w:type="dxa" w:w="936"/>
          </w:tcPr>
          <w:p>
            <w:pPr>
              <w:spacing w:before="20" w:after="20" w:line="254" w:lineRule="auto"/>
            </w:pPr>
            <w:r>
              <w:rPr>
                <w:rFonts w:ascii="Carlito" w:hAnsi="Carlito"/>
                <w:b/>
                <w:i w:val="0"/>
                <w:color w:val="FFFFFF"/>
                <w:sz w:val="19"/>
              </w:rPr>
              <w:t>Owner</w:t>
            </w:r>
          </w:p>
        </w:tc>
        <w:tc>
          <w:tcPr>
            <w:tcW w:type="dxa" w:w="562"/>
          </w:tcPr>
          <w:p>
            <w:pPr>
              <w:spacing w:before="20" w:after="20" w:line="254" w:lineRule="auto"/>
            </w:pPr>
            <w:r>
              <w:rPr>
                <w:rFonts w:ascii="Carlito" w:hAnsi="Carlito"/>
                <w:b/>
                <w:i w:val="0"/>
                <w:color w:val="FFFFFF"/>
                <w:sz w:val="19"/>
              </w:rPr>
              <w:t>Due date</w:t>
            </w:r>
          </w:p>
        </w:tc>
      </w:tr>
      <w:tr>
        <w:tc>
          <w:tcPr>
            <w:tcW w:type="dxa" w:w="374"/>
          </w:tcPr>
          <w:p>
            <w:pPr>
              <w:spacing w:before="20" w:after="20" w:line="254" w:lineRule="auto"/>
            </w:pPr>
          </w:p>
        </w:tc>
        <w:tc>
          <w:tcPr>
            <w:tcW w:type="dxa" w:w="2434"/>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c>
          <w:tcPr>
            <w:tcW w:type="dxa" w:w="562"/>
          </w:tcPr>
          <w:p>
            <w:pPr>
              <w:spacing w:before="20" w:after="20" w:line="254" w:lineRule="auto"/>
            </w:pPr>
          </w:p>
        </w:tc>
      </w:tr>
      <w:tr>
        <w:tc>
          <w:tcPr>
            <w:tcW w:type="dxa" w:w="374"/>
          </w:tcPr>
          <w:p>
            <w:pPr>
              <w:spacing w:before="20" w:after="20" w:line="254" w:lineRule="auto"/>
            </w:pPr>
          </w:p>
        </w:tc>
        <w:tc>
          <w:tcPr>
            <w:tcW w:type="dxa" w:w="2434"/>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c>
          <w:tcPr>
            <w:tcW w:type="dxa" w:w="562"/>
          </w:tcPr>
          <w:p>
            <w:pPr>
              <w:spacing w:before="20" w:after="20" w:line="254" w:lineRule="auto"/>
            </w:pPr>
          </w:p>
        </w:tc>
      </w:tr>
      <w:tr>
        <w:tc>
          <w:tcPr>
            <w:tcW w:type="dxa" w:w="374"/>
          </w:tcPr>
          <w:p>
            <w:pPr>
              <w:spacing w:before="20" w:after="20" w:line="254" w:lineRule="auto"/>
            </w:pPr>
          </w:p>
        </w:tc>
        <w:tc>
          <w:tcPr>
            <w:tcW w:type="dxa" w:w="2434"/>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c>
          <w:tcPr>
            <w:tcW w:type="dxa" w:w="562"/>
          </w:tcPr>
          <w:p>
            <w:pPr>
              <w:spacing w:before="20" w:after="20" w:line="254" w:lineRule="auto"/>
            </w:pPr>
          </w:p>
        </w:tc>
      </w:tr>
      <w:tr>
        <w:tc>
          <w:tcPr>
            <w:tcW w:type="dxa" w:w="374"/>
          </w:tcPr>
          <w:p>
            <w:pPr>
              <w:spacing w:before="20" w:after="20" w:line="254" w:lineRule="auto"/>
            </w:pPr>
          </w:p>
        </w:tc>
        <w:tc>
          <w:tcPr>
            <w:tcW w:type="dxa" w:w="2434"/>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c>
          <w:tcPr>
            <w:tcW w:type="dxa" w:w="562"/>
          </w:tcPr>
          <w:p>
            <w:pPr>
              <w:spacing w:before="20" w:after="20" w:line="254" w:lineRule="auto"/>
            </w:pPr>
          </w:p>
        </w:tc>
      </w:tr>
      <w:tr>
        <w:tc>
          <w:tcPr>
            <w:tcW w:type="dxa" w:w="374"/>
          </w:tcPr>
          <w:p>
            <w:pPr>
              <w:spacing w:before="20" w:after="20" w:line="254" w:lineRule="auto"/>
            </w:pPr>
          </w:p>
        </w:tc>
        <w:tc>
          <w:tcPr>
            <w:tcW w:type="dxa" w:w="2434"/>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c>
          <w:tcPr>
            <w:tcW w:type="dxa" w:w="562"/>
          </w:tcPr>
          <w:p>
            <w:pPr>
              <w:spacing w:before="20" w:after="20" w:line="254" w:lineRule="auto"/>
            </w:pPr>
          </w:p>
        </w:tc>
      </w:tr>
      <w:tr>
        <w:tc>
          <w:tcPr>
            <w:tcW w:type="dxa" w:w="374"/>
          </w:tcPr>
          <w:p>
            <w:pPr>
              <w:spacing w:before="20" w:after="20" w:line="254" w:lineRule="auto"/>
            </w:pPr>
          </w:p>
        </w:tc>
        <w:tc>
          <w:tcPr>
            <w:tcW w:type="dxa" w:w="2434"/>
          </w:tcPr>
          <w:p>
            <w:pPr>
              <w:spacing w:before="20" w:after="20" w:line="254" w:lineRule="auto"/>
            </w:pPr>
          </w:p>
        </w:tc>
        <w:tc>
          <w:tcPr>
            <w:tcW w:type="dxa" w:w="1310"/>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936"/>
          </w:tcPr>
          <w:p>
            <w:pPr>
              <w:spacing w:before="20" w:after="20" w:line="254" w:lineRule="auto"/>
            </w:pPr>
          </w:p>
        </w:tc>
        <w:tc>
          <w:tcPr>
            <w:tcW w:type="dxa" w:w="562"/>
          </w:tcPr>
          <w:p>
            <w:pPr>
              <w:spacing w:before="20" w:after="20" w:line="254" w:lineRule="auto"/>
            </w:pPr>
          </w:p>
        </w:tc>
      </w:tr>
    </w:tbl>
    <w:p>
      <w:pPr>
        <w:spacing w:after="40"/>
      </w:pP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Exercise run by</w:t>
            </w:r>
          </w:p>
        </w:tc>
        <w:tc>
          <w:tcPr>
            <w:tcW w:type="dxa" w:w="3744"/>
          </w:tcPr>
          <w:p>
            <w:pPr>
              <w:spacing w:before="20" w:after="20" w:line="254" w:lineRule="auto"/>
            </w:pPr>
            <w:r>
              <w:rPr>
                <w:rFonts w:ascii="Carlito" w:hAnsi="Carlito"/>
                <w:b w:val="0"/>
                <w:i w:val="0"/>
                <w:sz w:val="19"/>
              </w:rPr>
              <w:t>Name, role, date — someone who did not do the work</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Interviewee</w:t>
            </w:r>
          </w:p>
        </w:tc>
        <w:tc>
          <w:tcPr>
            <w:tcW w:type="dxa" w:w="3744"/>
          </w:tcPr>
          <w:p>
            <w:pPr>
              <w:spacing w:before="20" w:after="20" w:line="254" w:lineRule="auto"/>
            </w:pPr>
            <w:r>
              <w:rPr>
                <w:rFonts w:ascii="Carlito" w:hAnsi="Carlito"/>
                <w:b w:val="0"/>
                <w:i w:val="0"/>
                <w:sz w:val="19"/>
              </w:rPr>
              <w:t>Name, role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Report circulated to</w:t>
            </w:r>
          </w:p>
        </w:tc>
        <w:tc>
          <w:tcPr>
            <w:tcW w:type="dxa" w:w="3744"/>
          </w:tcPr>
          <w:p>
            <w:pPr>
              <w:spacing w:before="20" w:after="20" w:line="254" w:lineRule="auto"/>
            </w:pPr>
            <w:r>
              <w:rPr>
                <w:rFonts w:ascii="Carlito" w:hAnsi="Carlito"/>
                <w:b w:val="0"/>
                <w:i w:val="0"/>
                <w:sz w:val="19"/>
              </w:rPr>
              <w:t>Names and 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Re-run scheduled</w:t>
            </w:r>
          </w:p>
        </w:tc>
        <w:tc>
          <w:tcPr>
            <w:tcW w:type="dxa" w:w="3744"/>
          </w:tcPr>
          <w:p>
            <w:pPr>
              <w:spacing w:before="20" w:after="20" w:line="254" w:lineRule="auto"/>
            </w:pPr>
            <w:r>
              <w:rPr>
                <w:rFonts w:ascii="Carlito" w:hAnsi="Carlito"/>
                <w:b w:val="0"/>
                <w:i w:val="0"/>
                <w:sz w:val="19"/>
              </w:rPr>
              <w:t>Date, and what must be closed before it</w:t>
            </w:r>
          </w:p>
        </w:tc>
        <w:tc>
          <w:tcPr>
            <w:tcW w:type="dxa" w:w="3557"/>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T-19 Inspection-Readiness Checklist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