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T-21 — AI Use-Case Validation and Oversight Checklist</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before deployment, approve with the accountable owner, and review at a defined interval and after any change to the model, the prompt or rule set, the data sources, or the portfolio.</w:t>
      </w:r>
    </w:p>
    <w:p>
      <w:r>
        <w:t>This is a record, not a form to be filed. Every field below should be answerable from documents that already exist, and an incomplete field is the finding rather than an inconvenience. Keep the completed assessment under SOP-level document control.</w:t>
      </w:r>
    </w:p>
    <w:p>
      <w:pPr>
        <w:pStyle w:val="Prompt"/>
      </w:pPr>
      <w:r>
        <w:t>Three fields carry most of the weight and are the three most often left thin. Field 5 forces the organization to state its two error tolerances separately. Field 6 converts oversight from an intention into named people with authority to stop work. Field 8 keeps the other ten honest over time, because a hosted model that changes underneath a validated use case invalidates everything above it without anyone noticing.</w:t>
      </w:r>
    </w:p>
    <w:p>
      <w:pPr>
        <w:pStyle w:val="SubtleNote"/>
      </w:pPr>
      <w:r>
        <w:t>The intervals and thresholds shown are an illustrative company design, not regulatory requirements. Reference framework: CIOMS Working Group XIV, Artificial Intelligence in Pharmacovigilance (2025); EMA reflection paper on the use of AI in the medicinal product lifecycle, adopted by CHMP and CVMP September 2024; joint EMA–FDA Guiding Principles of Good AI Practice in Drug Development, 14 January 2026; and FDA's draft guidance Considerations for the Use of Artificial Intelligence To Support Regulatory Decision-Making for Drug and Biological Products, January 2025 — still draft as of September 2026.</w:t>
      </w:r>
    </w:p>
    <w:p>
      <w:pPr>
        <w:pStyle w:val="Heading1"/>
      </w:pPr>
      <w:r>
        <w:t>Use-case assessment</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1. Intended use</w:t>
            </w:r>
          </w:p>
        </w:tc>
        <w:tc>
          <w:tcPr>
            <w:tcW w:type="dxa" w:w="3744"/>
          </w:tcPr>
          <w:p>
            <w:pPr>
              <w:spacing w:before="20" w:after="20" w:line="254" w:lineRule="auto"/>
            </w:pPr>
            <w:r>
              <w:rPr>
                <w:rFonts w:ascii="Carlito" w:hAnsi="Carlito"/>
                <w:b w:val="0"/>
                <w:i w:val="0"/>
                <w:sz w:val="19"/>
              </w:rPr>
              <w:t>The specific task, the process step it sits in, what the output is used for, and what it is explicitly not used for</w:t>
            </w:r>
          </w:p>
          <w:p>
            <w:pPr>
              <w:spacing w:before="20" w:after="20" w:line="254" w:lineRule="auto"/>
            </w:pPr>
            <w:r>
              <w:rPr>
                <w:rFonts w:ascii="Carlito" w:hAnsi="Carlito"/>
                <w:b w:val="0"/>
                <w:i/>
                <w:color w:val="4A5B63"/>
                <w:sz w:val="17"/>
              </w:rPr>
              <w:t>The last clause is the one that prevents scope creep. Write it as a prohibition.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2. Classification</w:t>
            </w:r>
          </w:p>
        </w:tc>
        <w:tc>
          <w:tcPr>
            <w:tcW w:type="dxa" w:w="3744"/>
          </w:tcPr>
          <w:p>
            <w:pPr>
              <w:spacing w:before="20" w:after="20" w:line="254" w:lineRule="auto"/>
            </w:pPr>
            <w:r>
              <w:rPr>
                <w:rFonts w:ascii="Carlito" w:hAnsi="Carlito"/>
                <w:b w:val="0"/>
                <w:i w:val="0"/>
                <w:sz w:val="19"/>
              </w:rPr>
              <w:t>Whether the output influences a regulated decision; applicable expectations, including the EU AI Act position with its provisional status noted</w:t>
            </w:r>
          </w:p>
          <w:p>
            <w:pPr>
              <w:spacing w:before="20" w:after="20" w:line="254" w:lineRule="auto"/>
            </w:pPr>
            <w:r>
              <w:rPr>
                <w:rFonts w:ascii="Carlito" w:hAnsi="Carlito"/>
                <w:b w:val="0"/>
                <w:i/>
                <w:color w:val="4A5B63"/>
                <w:sz w:val="17"/>
              </w:rPr>
              <w:t>As of September 2026 the Digital Omnibus postponements (political agreement 7 May 2026) were a provisional agreement pending formal adoption. Record it as provisional, not as settled law.</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3. Validation set</w:t>
            </w:r>
          </w:p>
        </w:tc>
        <w:tc>
          <w:tcPr>
            <w:tcW w:type="dxa" w:w="3744"/>
          </w:tcPr>
          <w:p>
            <w:pPr>
              <w:spacing w:before="20" w:after="20" w:line="254" w:lineRule="auto"/>
            </w:pPr>
            <w:r>
              <w:rPr>
                <w:rFonts w:ascii="Carlito" w:hAnsi="Carlito"/>
                <w:b w:val="0"/>
                <w:i w:val="0"/>
                <w:sz w:val="19"/>
              </w:rPr>
              <w:t>Source, size, labeling method, labeler qualification, stratification by language, reporter type, seriousness and event rarity, and date</w:t>
            </w:r>
          </w:p>
          <w:p>
            <w:pPr>
              <w:spacing w:before="20" w:after="20" w:line="254" w:lineRule="auto"/>
            </w:pPr>
            <w:r>
              <w:rPr>
                <w:rFonts w:ascii="Carlito" w:hAnsi="Carlito"/>
                <w:b w:val="0"/>
                <w:i/>
                <w:color w:val="4A5B63"/>
                <w:sz w:val="17"/>
              </w:rPr>
              <w:t>Stratification by event rarity is what exposes a model that performs well on common events and fails on the rare ones signal management exists to find.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4. Performance measures</w:t>
            </w:r>
          </w:p>
        </w:tc>
        <w:tc>
          <w:tcPr>
            <w:tcW w:type="dxa" w:w="3744"/>
          </w:tcPr>
          <w:p>
            <w:pPr>
              <w:spacing w:before="20" w:after="20" w:line="254" w:lineRule="auto"/>
            </w:pPr>
            <w:r>
              <w:rPr>
                <w:rFonts w:ascii="Carlito" w:hAnsi="Carlito"/>
                <w:b w:val="0"/>
                <w:i w:val="0"/>
                <w:sz w:val="19"/>
              </w:rPr>
              <w:t>Precision, recall and error by stratum, at the prevalence of the operating environment</w:t>
            </w:r>
          </w:p>
          <w:p>
            <w:pPr>
              <w:spacing w:before="20" w:after="20" w:line="254" w:lineRule="auto"/>
            </w:pPr>
            <w:r>
              <w:rPr>
                <w:rFonts w:ascii="Carlito" w:hAnsi="Carlito"/>
                <w:b w:val="0"/>
                <w:i/>
                <w:color w:val="4A5B63"/>
                <w:sz w:val="17"/>
              </w:rPr>
              <w:t>Aggregate accuracy alone is not sufficient and, at realistic prevalence, is usually misleading.</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5. Acceptable error</w:t>
            </w:r>
          </w:p>
        </w:tc>
        <w:tc>
          <w:tcPr>
            <w:tcW w:type="dxa" w:w="3744"/>
          </w:tcPr>
          <w:p>
            <w:pPr>
              <w:spacing w:before="20" w:after="20" w:line="254" w:lineRule="auto"/>
            </w:pPr>
            <w:r>
              <w:rPr>
                <w:rFonts w:ascii="Carlito" w:hAnsi="Carlito"/>
                <w:b w:val="0"/>
                <w:i w:val="0"/>
                <w:sz w:val="19"/>
              </w:rPr>
              <w:t>The maximum tolerable false-negative and false-positive rates, stated separately, with the clinical reasoning for the asymmetry</w:t>
            </w:r>
          </w:p>
          <w:p>
            <w:pPr>
              <w:spacing w:before="20" w:after="20" w:line="254" w:lineRule="auto"/>
            </w:pPr>
            <w:r>
              <w:rPr>
                <w:rFonts w:ascii="Carlito" w:hAnsi="Carlito"/>
                <w:b w:val="0"/>
                <w:i/>
                <w:color w:val="4A5B63"/>
                <w:sz w:val="17"/>
              </w:rPr>
              <w:t>Two numbers and a reason. A missed serious case and an extra item in a review queue are not symmetrical costs, and the tolerance should say so.</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6. Human oversight</w:t>
            </w:r>
          </w:p>
        </w:tc>
        <w:tc>
          <w:tcPr>
            <w:tcW w:type="dxa" w:w="3744"/>
          </w:tcPr>
          <w:p>
            <w:pPr>
              <w:spacing w:before="20" w:after="20" w:line="254" w:lineRule="auto"/>
            </w:pPr>
            <w:r>
              <w:rPr>
                <w:rFonts w:ascii="Carlito" w:hAnsi="Carlito"/>
                <w:b w:val="0"/>
                <w:i w:val="0"/>
                <w:sz w:val="19"/>
              </w:rPr>
              <w:t>Each verification point, who performs it, the sample or 100% rule applied, and the authority to stop the process</w:t>
            </w:r>
          </w:p>
          <w:p>
            <w:pPr>
              <w:spacing w:before="20" w:after="20" w:line="254" w:lineRule="auto"/>
            </w:pPr>
            <w:r>
              <w:rPr>
                <w:rFonts w:ascii="Carlito" w:hAnsi="Carlito"/>
                <w:b w:val="0"/>
                <w:i/>
                <w:color w:val="4A5B63"/>
                <w:sz w:val="17"/>
              </w:rPr>
              <w:t>Name people and the authority to stop. 'Human in the loop' without a named role and a stop authority is not oversight.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7. Monitoring</w:t>
            </w:r>
          </w:p>
        </w:tc>
        <w:tc>
          <w:tcPr>
            <w:tcW w:type="dxa" w:w="3744"/>
          </w:tcPr>
          <w:p>
            <w:pPr>
              <w:spacing w:before="20" w:after="20" w:line="254" w:lineRule="auto"/>
            </w:pPr>
            <w:r>
              <w:rPr>
                <w:rFonts w:ascii="Carlito" w:hAnsi="Carlito"/>
                <w:b w:val="0"/>
                <w:i w:val="0"/>
                <w:sz w:val="19"/>
              </w:rPr>
              <w:t>Gold-standard set re-run schedule, metrics tracked, withdrawal threshold, and who reviews the results</w:t>
            </w:r>
          </w:p>
          <w:p>
            <w:pPr>
              <w:spacing w:before="20" w:after="20" w:line="254" w:lineRule="auto"/>
            </w:pPr>
            <w:r>
              <w:rPr>
                <w:rFonts w:ascii="Carlito" w:hAnsi="Carlito"/>
                <w:b w:val="0"/>
                <w:i/>
                <w:color w:val="4A5B63"/>
                <w:sz w:val="17"/>
              </w:rPr>
              <w:t>Set the withdrawal threshold before deployment, when nobody has an interest in the answer.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8. Change control</w:t>
            </w:r>
          </w:p>
        </w:tc>
        <w:tc>
          <w:tcPr>
            <w:tcW w:type="dxa" w:w="3744"/>
          </w:tcPr>
          <w:p>
            <w:pPr>
              <w:spacing w:before="20" w:after="20" w:line="254" w:lineRule="auto"/>
            </w:pPr>
            <w:r>
              <w:rPr>
                <w:rFonts w:ascii="Carlito" w:hAnsi="Carlito"/>
                <w:b w:val="0"/>
                <w:i w:val="0"/>
                <w:sz w:val="19"/>
              </w:rPr>
              <w:t>Trigger events requiring revalidation; vendor obligation to notify model version changes; record of versions in use by date</w:t>
            </w:r>
          </w:p>
          <w:p>
            <w:pPr>
              <w:spacing w:before="20" w:after="20" w:line="254" w:lineRule="auto"/>
            </w:pPr>
            <w:r>
              <w:rPr>
                <w:rFonts w:ascii="Carlito" w:hAnsi="Carlito"/>
                <w:b w:val="0"/>
                <w:i/>
                <w:color w:val="4A5B63"/>
                <w:sz w:val="17"/>
              </w:rPr>
              <w:t>A hosted model can change underneath you. The vendor obligation to notify belongs in the contract, not in the hope.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9. Privacy</w:t>
            </w:r>
          </w:p>
        </w:tc>
        <w:tc>
          <w:tcPr>
            <w:tcW w:type="dxa" w:w="3744"/>
          </w:tcPr>
          <w:p>
            <w:pPr>
              <w:spacing w:before="20" w:after="20" w:line="254" w:lineRule="auto"/>
            </w:pPr>
            <w:r>
              <w:rPr>
                <w:rFonts w:ascii="Carlito" w:hAnsi="Carlito"/>
                <w:b w:val="0"/>
                <w:i w:val="0"/>
                <w:sz w:val="19"/>
              </w:rPr>
              <w:t>Data categories processed, legal basis, processor agreement, retention and training-use terms, pseudonymization, re-identification assessment</w:t>
            </w:r>
          </w:p>
          <w:p>
            <w:pPr>
              <w:spacing w:before="20" w:after="20" w:line="254" w:lineRule="auto"/>
            </w:pPr>
            <w:r>
              <w:rPr>
                <w:rFonts w:ascii="Carlito" w:hAnsi="Carlito"/>
                <w:b w:val="0"/>
                <w:i/>
                <w:color w:val="4A5B63"/>
                <w:sz w:val="17"/>
              </w:rPr>
              <w:t>Check specifically whether your data may be used to train the vendor's model, and record the answer with the contract clause.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10. Traceability</w:t>
            </w:r>
          </w:p>
        </w:tc>
        <w:tc>
          <w:tcPr>
            <w:tcW w:type="dxa" w:w="3744"/>
          </w:tcPr>
          <w:p>
            <w:pPr>
              <w:spacing w:before="20" w:after="20" w:line="254" w:lineRule="auto"/>
            </w:pPr>
            <w:r>
              <w:rPr>
                <w:rFonts w:ascii="Carlito" w:hAnsi="Carlito"/>
                <w:b w:val="0"/>
                <w:i w:val="0"/>
                <w:sz w:val="19"/>
              </w:rPr>
              <w:t>Record set retained: system and version, prompt or rule set, inputs, output, reviewer changes with reasons, approvals with timestamps</w:t>
            </w:r>
          </w:p>
          <w:p>
            <w:pPr>
              <w:spacing w:before="20" w:after="20" w:line="254" w:lineRule="auto"/>
            </w:pPr>
            <w:r>
              <w:rPr>
                <w:rFonts w:ascii="Carlito" w:hAnsi="Carlito"/>
                <w:b w:val="0"/>
                <w:i/>
                <w:color w:val="4A5B63"/>
                <w:sz w:val="17"/>
              </w:rPr>
              <w:t>Reviewer changes with reasons, not only the fact of a change. A file noting that the automated output was not followed, but not why, cannot be evaluated or defended.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11. Accountable owner</w:t>
            </w:r>
          </w:p>
        </w:tc>
        <w:tc>
          <w:tcPr>
            <w:tcW w:type="dxa" w:w="3744"/>
          </w:tcPr>
          <w:p>
            <w:pPr>
              <w:spacing w:before="20" w:after="20" w:line="254" w:lineRule="auto"/>
            </w:pPr>
            <w:r>
              <w:rPr>
                <w:rFonts w:ascii="Carlito" w:hAnsi="Carlito"/>
                <w:b w:val="0"/>
                <w:i w:val="0"/>
                <w:sz w:val="19"/>
              </w:rPr>
              <w:t>Named qualified individual accountable for the output and its use, with deputy and review date</w:t>
            </w:r>
          </w:p>
          <w:p>
            <w:pPr>
              <w:spacing w:before="20" w:after="20" w:line="254" w:lineRule="auto"/>
            </w:pPr>
            <w:r>
              <w:rPr>
                <w:rFonts w:ascii="Carlito" w:hAnsi="Carlito"/>
                <w:b w:val="0"/>
                <w:i/>
                <w:color w:val="4A5B63"/>
                <w:sz w:val="17"/>
              </w:rPr>
              <w:t>The tool does not hold a licence, sign a report, or answer at an inspection.</w:t>
            </w:r>
          </w:p>
        </w:tc>
        <w:tc>
          <w:tcPr>
            <w:tcW w:type="dxa" w:w="3557"/>
          </w:tcPr>
          <w:p>
            <w:pPr>
              <w:spacing w:before="20" w:after="20" w:line="254" w:lineRule="auto"/>
            </w:pPr>
          </w:p>
        </w:tc>
      </w:tr>
    </w:tbl>
    <w:p>
      <w:pPr>
        <w:spacing w:after="40"/>
      </w:pPr>
    </w:p>
    <w:p>
      <w:pPr>
        <w:pStyle w:val="Heading1"/>
      </w:pPr>
      <w:r>
        <w:t>Performance by stratum</w:t>
      </w:r>
    </w:p>
    <w:tbl>
      <w:tblPr>
        <w:tblStyle w:val="ToolkitTable"/>
        <w:tblW w:type="auto" w:w="0"/>
        <w:jc w:val="left"/>
        <w:tblLayout w:type="fixed"/>
        <w:tblLook w:val="04A0" w:firstRow="1" w:lastRow="0" w:firstColumn="0" w:lastColumn="0" w:noHBand="0" w:noVBand="1"/>
      </w:tblPr>
      <w:tblGrid>
        <w:gridCol w:w="2434"/>
        <w:gridCol w:w="1310"/>
        <w:gridCol w:w="1123"/>
        <w:gridCol w:w="1123"/>
        <w:gridCol w:w="1310"/>
        <w:gridCol w:w="2059"/>
      </w:tblGrid>
      <w:tr>
        <w:trPr>
          <w:tblHeader/>
        </w:trPr>
        <w:tc>
          <w:tcPr>
            <w:tcW w:type="dxa" w:w="2434"/>
          </w:tcPr>
          <w:p>
            <w:pPr>
              <w:spacing w:before="20" w:after="20" w:line="254" w:lineRule="auto"/>
            </w:pPr>
            <w:r>
              <w:rPr>
                <w:rFonts w:ascii="Carlito" w:hAnsi="Carlito"/>
                <w:b/>
                <w:i w:val="0"/>
                <w:color w:val="FFFFFF"/>
                <w:sz w:val="19"/>
              </w:rPr>
              <w:t>Stratum</w:t>
            </w:r>
          </w:p>
        </w:tc>
        <w:tc>
          <w:tcPr>
            <w:tcW w:type="dxa" w:w="1310"/>
          </w:tcPr>
          <w:p>
            <w:pPr>
              <w:spacing w:before="20" w:after="20" w:line="254" w:lineRule="auto"/>
            </w:pPr>
            <w:r>
              <w:rPr>
                <w:rFonts w:ascii="Carlito" w:hAnsi="Carlito"/>
                <w:b/>
                <w:i w:val="0"/>
                <w:color w:val="FFFFFF"/>
                <w:sz w:val="19"/>
              </w:rPr>
              <w:t>n in validation set</w:t>
            </w:r>
          </w:p>
        </w:tc>
        <w:tc>
          <w:tcPr>
            <w:tcW w:type="dxa" w:w="1123"/>
          </w:tcPr>
          <w:p>
            <w:pPr>
              <w:spacing w:before="20" w:after="20" w:line="254" w:lineRule="auto"/>
            </w:pPr>
            <w:r>
              <w:rPr>
                <w:rFonts w:ascii="Carlito" w:hAnsi="Carlito"/>
                <w:b/>
                <w:i w:val="0"/>
                <w:color w:val="FFFFFF"/>
                <w:sz w:val="19"/>
              </w:rPr>
              <w:t>Precision</w:t>
            </w:r>
          </w:p>
        </w:tc>
        <w:tc>
          <w:tcPr>
            <w:tcW w:type="dxa" w:w="1123"/>
          </w:tcPr>
          <w:p>
            <w:pPr>
              <w:spacing w:before="20" w:after="20" w:line="254" w:lineRule="auto"/>
            </w:pPr>
            <w:r>
              <w:rPr>
                <w:rFonts w:ascii="Carlito" w:hAnsi="Carlito"/>
                <w:b/>
                <w:i w:val="0"/>
                <w:color w:val="FFFFFF"/>
                <w:sz w:val="19"/>
              </w:rPr>
              <w:t>Recall</w:t>
            </w:r>
          </w:p>
        </w:tc>
        <w:tc>
          <w:tcPr>
            <w:tcW w:type="dxa" w:w="1310"/>
          </w:tcPr>
          <w:p>
            <w:pPr>
              <w:spacing w:before="20" w:after="20" w:line="254" w:lineRule="auto"/>
            </w:pPr>
            <w:r>
              <w:rPr>
                <w:rFonts w:ascii="Carlito" w:hAnsi="Carlito"/>
                <w:b/>
                <w:i w:val="0"/>
                <w:color w:val="FFFFFF"/>
                <w:sz w:val="19"/>
              </w:rPr>
              <w:t>False negatives</w:t>
            </w:r>
          </w:p>
        </w:tc>
        <w:tc>
          <w:tcPr>
            <w:tcW w:type="dxa" w:w="2059"/>
          </w:tcPr>
          <w:p>
            <w:pPr>
              <w:spacing w:before="20" w:after="20" w:line="254" w:lineRule="auto"/>
            </w:pPr>
            <w:r>
              <w:rPr>
                <w:rFonts w:ascii="Carlito" w:hAnsi="Carlito"/>
                <w:b/>
                <w:i w:val="0"/>
                <w:color w:val="FFFFFF"/>
                <w:sz w:val="19"/>
              </w:rPr>
              <w:t>Meets acceptable error?</w:t>
            </w:r>
          </w:p>
        </w:tc>
      </w:tr>
      <w:tr>
        <w:tc>
          <w:tcPr>
            <w:tcW w:type="dxa" w:w="2434"/>
          </w:tcPr>
          <w:p>
            <w:pPr>
              <w:spacing w:before="20" w:after="20" w:line="254" w:lineRule="auto"/>
            </w:pPr>
            <w:r>
              <w:rPr>
                <w:rFonts w:ascii="Carlito" w:hAnsi="Carlito"/>
                <w:b w:val="0"/>
                <w:i w:val="0"/>
                <w:sz w:val="19"/>
              </w:rPr>
              <w:t>Serious events</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Non-serious events</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Rare events (&lt; 10 in the set)</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Consumer reports</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Healthcare professional reports</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Non-English source</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r>
              <w:rPr>
                <w:rFonts w:ascii="Carlito" w:hAnsi="Carlito"/>
                <w:b w:val="0"/>
                <w:i w:val="0"/>
                <w:sz w:val="19"/>
              </w:rPr>
              <w:t>Literature-derived</w:t>
            </w: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r>
        <w:tc>
          <w:tcPr>
            <w:tcW w:type="dxa" w:w="2434"/>
          </w:tcPr>
          <w:p>
            <w:pPr>
              <w:spacing w:before="20" w:after="20" w:line="254" w:lineRule="auto"/>
            </w:pPr>
          </w:p>
        </w:tc>
        <w:tc>
          <w:tcPr>
            <w:tcW w:type="dxa" w:w="1310"/>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c>
          <w:tcPr>
            <w:tcW w:type="dxa" w:w="1310"/>
          </w:tcPr>
          <w:p>
            <w:pPr>
              <w:spacing w:before="20" w:after="20" w:line="254" w:lineRule="auto"/>
            </w:pPr>
          </w:p>
        </w:tc>
        <w:tc>
          <w:tcPr>
            <w:tcW w:type="dxa" w:w="2059"/>
          </w:tcPr>
          <w:p>
            <w:pPr>
              <w:spacing w:before="20" w:after="20" w:line="254" w:lineRule="auto"/>
            </w:pPr>
          </w:p>
        </w:tc>
      </w:tr>
    </w:tbl>
    <w:p>
      <w:pPr>
        <w:spacing w:after="40"/>
      </w:pPr>
    </w:p>
    <w:p>
      <w:pPr>
        <w:pStyle w:val="Heading1"/>
      </w:pPr>
      <w:r>
        <w:t>Oversight points</w:t>
      </w:r>
    </w:p>
    <w:tbl>
      <w:tblPr>
        <w:tblStyle w:val="ToolkitTable"/>
        <w:tblW w:type="auto" w:w="0"/>
        <w:jc w:val="left"/>
        <w:tblLayout w:type="fixed"/>
        <w:tblLook w:val="04A0" w:firstRow="1" w:lastRow="0" w:firstColumn="0" w:lastColumn="0" w:noHBand="0" w:noVBand="1"/>
      </w:tblPr>
      <w:tblGrid>
        <w:gridCol w:w="2246"/>
        <w:gridCol w:w="1685"/>
        <w:gridCol w:w="1685"/>
        <w:gridCol w:w="2059"/>
        <w:gridCol w:w="1685"/>
      </w:tblGrid>
      <w:tr>
        <w:trPr>
          <w:tblHeader/>
        </w:trPr>
        <w:tc>
          <w:tcPr>
            <w:tcW w:type="dxa" w:w="2246"/>
          </w:tcPr>
          <w:p>
            <w:pPr>
              <w:spacing w:before="20" w:after="20" w:line="254" w:lineRule="auto"/>
            </w:pPr>
            <w:r>
              <w:rPr>
                <w:rFonts w:ascii="Carlito" w:hAnsi="Carlito"/>
                <w:b/>
                <w:i w:val="0"/>
                <w:color w:val="FFFFFF"/>
                <w:sz w:val="19"/>
              </w:rPr>
              <w:t>Verification point</w:t>
            </w:r>
          </w:p>
        </w:tc>
        <w:tc>
          <w:tcPr>
            <w:tcW w:type="dxa" w:w="1685"/>
          </w:tcPr>
          <w:p>
            <w:pPr>
              <w:spacing w:before="20" w:after="20" w:line="254" w:lineRule="auto"/>
            </w:pPr>
            <w:r>
              <w:rPr>
                <w:rFonts w:ascii="Carlito" w:hAnsi="Carlito"/>
                <w:b/>
                <w:i w:val="0"/>
                <w:color w:val="FFFFFF"/>
                <w:sz w:val="19"/>
              </w:rPr>
              <w:t>Who performs it</w:t>
            </w:r>
          </w:p>
        </w:tc>
        <w:tc>
          <w:tcPr>
            <w:tcW w:type="dxa" w:w="1685"/>
          </w:tcPr>
          <w:p>
            <w:pPr>
              <w:spacing w:before="20" w:after="20" w:line="254" w:lineRule="auto"/>
            </w:pPr>
            <w:r>
              <w:rPr>
                <w:rFonts w:ascii="Carlito" w:hAnsi="Carlito"/>
                <w:b/>
                <w:i w:val="0"/>
                <w:color w:val="FFFFFF"/>
                <w:sz w:val="19"/>
              </w:rPr>
              <w:t>100% or sample (state size)</w:t>
            </w:r>
          </w:p>
        </w:tc>
        <w:tc>
          <w:tcPr>
            <w:tcW w:type="dxa" w:w="2059"/>
          </w:tcPr>
          <w:p>
            <w:pPr>
              <w:spacing w:before="20" w:after="20" w:line="254" w:lineRule="auto"/>
            </w:pPr>
            <w:r>
              <w:rPr>
                <w:rFonts w:ascii="Carlito" w:hAnsi="Carlito"/>
                <w:b/>
                <w:i w:val="0"/>
                <w:color w:val="FFFFFF"/>
                <w:sz w:val="19"/>
              </w:rPr>
              <w:t>Authority to stop the process</w:t>
            </w:r>
          </w:p>
        </w:tc>
        <w:tc>
          <w:tcPr>
            <w:tcW w:type="dxa" w:w="1685"/>
          </w:tcPr>
          <w:p>
            <w:pPr>
              <w:spacing w:before="20" w:after="20" w:line="254" w:lineRule="auto"/>
            </w:pPr>
            <w:r>
              <w:rPr>
                <w:rFonts w:ascii="Carlito" w:hAnsi="Carlito"/>
                <w:b/>
                <w:i w:val="0"/>
                <w:color w:val="FFFFFF"/>
                <w:sz w:val="19"/>
              </w:rPr>
              <w:t>Evidence retained</w:t>
            </w:r>
          </w:p>
        </w:tc>
      </w:tr>
      <w:tr>
        <w:tc>
          <w:tcPr>
            <w:tcW w:type="dxa" w:w="2246"/>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1685"/>
          </w:tcPr>
          <w:p>
            <w:pPr>
              <w:spacing w:before="20" w:after="20" w:line="254" w:lineRule="auto"/>
            </w:pPr>
          </w:p>
        </w:tc>
      </w:tr>
      <w:tr>
        <w:tc>
          <w:tcPr>
            <w:tcW w:type="dxa" w:w="2246"/>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1685"/>
          </w:tcPr>
          <w:p>
            <w:pPr>
              <w:spacing w:before="20" w:after="20" w:line="254" w:lineRule="auto"/>
            </w:pPr>
          </w:p>
        </w:tc>
      </w:tr>
      <w:tr>
        <w:tc>
          <w:tcPr>
            <w:tcW w:type="dxa" w:w="2246"/>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1685"/>
          </w:tcPr>
          <w:p>
            <w:pPr>
              <w:spacing w:before="20" w:after="20" w:line="254" w:lineRule="auto"/>
            </w:pPr>
          </w:p>
        </w:tc>
      </w:tr>
      <w:tr>
        <w:tc>
          <w:tcPr>
            <w:tcW w:type="dxa" w:w="2246"/>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1685"/>
          </w:tcPr>
          <w:p>
            <w:pPr>
              <w:spacing w:before="20" w:after="20" w:line="254" w:lineRule="auto"/>
            </w:pPr>
          </w:p>
        </w:tc>
      </w:tr>
      <w:tr>
        <w:tc>
          <w:tcPr>
            <w:tcW w:type="dxa" w:w="2246"/>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2059"/>
          </w:tcPr>
          <w:p>
            <w:pPr>
              <w:spacing w:before="20" w:after="20" w:line="254" w:lineRule="auto"/>
            </w:pPr>
          </w:p>
        </w:tc>
        <w:tc>
          <w:tcPr>
            <w:tcW w:type="dxa" w:w="1685"/>
          </w:tcPr>
          <w:p>
            <w:pPr>
              <w:spacing w:before="20" w:after="20" w:line="254" w:lineRule="auto"/>
            </w:pPr>
          </w:p>
        </w:tc>
      </w:tr>
    </w:tbl>
    <w:p>
      <w:pPr>
        <w:spacing w:after="40"/>
      </w:pPr>
    </w:p>
    <w:p>
      <w:pPr>
        <w:pStyle w:val="Heading1"/>
      </w:pPr>
      <w:r>
        <w:t>Change and version register</w:t>
      </w:r>
    </w:p>
    <w:tbl>
      <w:tblPr>
        <w:tblStyle w:val="ToolkitTable"/>
        <w:tblW w:type="auto" w:w="0"/>
        <w:jc w:val="left"/>
        <w:tblLayout w:type="fixed"/>
        <w:tblLook w:val="04A0" w:firstRow="1" w:lastRow="0" w:firstColumn="0" w:lastColumn="0" w:noHBand="0" w:noVBand="1"/>
      </w:tblPr>
      <w:tblGrid>
        <w:gridCol w:w="936"/>
        <w:gridCol w:w="1872"/>
        <w:gridCol w:w="1872"/>
        <w:gridCol w:w="1498"/>
        <w:gridCol w:w="1498"/>
        <w:gridCol w:w="1685"/>
      </w:tblGrid>
      <w:tr>
        <w:trPr>
          <w:tblHeader/>
        </w:trPr>
        <w:tc>
          <w:tcPr>
            <w:tcW w:type="dxa" w:w="936"/>
          </w:tcPr>
          <w:p>
            <w:pPr>
              <w:spacing w:before="20" w:after="20" w:line="254" w:lineRule="auto"/>
            </w:pPr>
            <w:r>
              <w:rPr>
                <w:rFonts w:ascii="Carlito" w:hAnsi="Carlito"/>
                <w:b/>
                <w:i w:val="0"/>
                <w:color w:val="FFFFFF"/>
                <w:sz w:val="19"/>
              </w:rPr>
              <w:t>Date</w:t>
            </w:r>
          </w:p>
        </w:tc>
        <w:tc>
          <w:tcPr>
            <w:tcW w:type="dxa" w:w="1872"/>
          </w:tcPr>
          <w:p>
            <w:pPr>
              <w:spacing w:before="20" w:after="20" w:line="254" w:lineRule="auto"/>
            </w:pPr>
            <w:r>
              <w:rPr>
                <w:rFonts w:ascii="Carlito" w:hAnsi="Carlito"/>
                <w:b/>
                <w:i w:val="0"/>
                <w:color w:val="FFFFFF"/>
                <w:sz w:val="19"/>
              </w:rPr>
              <w:t>System / model version</w:t>
            </w:r>
          </w:p>
        </w:tc>
        <w:tc>
          <w:tcPr>
            <w:tcW w:type="dxa" w:w="1872"/>
          </w:tcPr>
          <w:p>
            <w:pPr>
              <w:spacing w:before="20" w:after="20" w:line="254" w:lineRule="auto"/>
            </w:pPr>
            <w:r>
              <w:rPr>
                <w:rFonts w:ascii="Carlito" w:hAnsi="Carlito"/>
                <w:b/>
                <w:i w:val="0"/>
                <w:color w:val="FFFFFF"/>
                <w:sz w:val="19"/>
              </w:rPr>
              <w:t>Prompt or rule set version</w:t>
            </w:r>
          </w:p>
        </w:tc>
        <w:tc>
          <w:tcPr>
            <w:tcW w:type="dxa" w:w="1498"/>
          </w:tcPr>
          <w:p>
            <w:pPr>
              <w:spacing w:before="20" w:after="20" w:line="254" w:lineRule="auto"/>
            </w:pPr>
            <w:r>
              <w:rPr>
                <w:rFonts w:ascii="Carlito" w:hAnsi="Carlito"/>
                <w:b/>
                <w:i w:val="0"/>
                <w:color w:val="FFFFFF"/>
                <w:sz w:val="19"/>
              </w:rPr>
              <w:t>Change notified by</w:t>
            </w:r>
          </w:p>
        </w:tc>
        <w:tc>
          <w:tcPr>
            <w:tcW w:type="dxa" w:w="1498"/>
          </w:tcPr>
          <w:p>
            <w:pPr>
              <w:spacing w:before="20" w:after="20" w:line="254" w:lineRule="auto"/>
            </w:pPr>
            <w:r>
              <w:rPr>
                <w:rFonts w:ascii="Carlito" w:hAnsi="Carlito"/>
                <w:b/>
                <w:i w:val="0"/>
                <w:color w:val="FFFFFF"/>
                <w:sz w:val="19"/>
              </w:rPr>
              <w:t>Revalidation required?</w:t>
            </w:r>
          </w:p>
        </w:tc>
        <w:tc>
          <w:tcPr>
            <w:tcW w:type="dxa" w:w="1685"/>
          </w:tcPr>
          <w:p>
            <w:pPr>
              <w:spacing w:before="20" w:after="20" w:line="254" w:lineRule="auto"/>
            </w:pPr>
            <w:r>
              <w:rPr>
                <w:rFonts w:ascii="Carlito" w:hAnsi="Carlito"/>
                <w:b/>
                <w:i w:val="0"/>
                <w:color w:val="FFFFFF"/>
                <w:sz w:val="19"/>
              </w:rPr>
              <w:t>Revalidation completed</w:t>
            </w:r>
          </w:p>
        </w:tc>
      </w:tr>
      <w:tr>
        <w:tc>
          <w:tcPr>
            <w:tcW w:type="dxa" w:w="936"/>
          </w:tcPr>
          <w:p>
            <w:pPr>
              <w:spacing w:before="20" w:after="20" w:line="254" w:lineRule="auto"/>
            </w:pPr>
          </w:p>
        </w:tc>
        <w:tc>
          <w:tcPr>
            <w:tcW w:type="dxa" w:w="1872"/>
          </w:tcPr>
          <w:p>
            <w:pPr>
              <w:spacing w:before="20" w:after="20" w:line="254" w:lineRule="auto"/>
            </w:pPr>
          </w:p>
        </w:tc>
        <w:tc>
          <w:tcPr>
            <w:tcW w:type="dxa" w:w="1872"/>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r>
      <w:tr>
        <w:tc>
          <w:tcPr>
            <w:tcW w:type="dxa" w:w="936"/>
          </w:tcPr>
          <w:p>
            <w:pPr>
              <w:spacing w:before="20" w:after="20" w:line="254" w:lineRule="auto"/>
            </w:pPr>
          </w:p>
        </w:tc>
        <w:tc>
          <w:tcPr>
            <w:tcW w:type="dxa" w:w="1872"/>
          </w:tcPr>
          <w:p>
            <w:pPr>
              <w:spacing w:before="20" w:after="20" w:line="254" w:lineRule="auto"/>
            </w:pPr>
          </w:p>
        </w:tc>
        <w:tc>
          <w:tcPr>
            <w:tcW w:type="dxa" w:w="1872"/>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r>
      <w:tr>
        <w:tc>
          <w:tcPr>
            <w:tcW w:type="dxa" w:w="936"/>
          </w:tcPr>
          <w:p>
            <w:pPr>
              <w:spacing w:before="20" w:after="20" w:line="254" w:lineRule="auto"/>
            </w:pPr>
          </w:p>
        </w:tc>
        <w:tc>
          <w:tcPr>
            <w:tcW w:type="dxa" w:w="1872"/>
          </w:tcPr>
          <w:p>
            <w:pPr>
              <w:spacing w:before="20" w:after="20" w:line="254" w:lineRule="auto"/>
            </w:pPr>
          </w:p>
        </w:tc>
        <w:tc>
          <w:tcPr>
            <w:tcW w:type="dxa" w:w="1872"/>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r>
      <w:tr>
        <w:tc>
          <w:tcPr>
            <w:tcW w:type="dxa" w:w="936"/>
          </w:tcPr>
          <w:p>
            <w:pPr>
              <w:spacing w:before="20" w:after="20" w:line="254" w:lineRule="auto"/>
            </w:pPr>
          </w:p>
        </w:tc>
        <w:tc>
          <w:tcPr>
            <w:tcW w:type="dxa" w:w="1872"/>
          </w:tcPr>
          <w:p>
            <w:pPr>
              <w:spacing w:before="20" w:after="20" w:line="254" w:lineRule="auto"/>
            </w:pPr>
          </w:p>
        </w:tc>
        <w:tc>
          <w:tcPr>
            <w:tcW w:type="dxa" w:w="1872"/>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r>
      <w:tr>
        <w:tc>
          <w:tcPr>
            <w:tcW w:type="dxa" w:w="936"/>
          </w:tcPr>
          <w:p>
            <w:pPr>
              <w:spacing w:before="20" w:after="20" w:line="254" w:lineRule="auto"/>
            </w:pPr>
          </w:p>
        </w:tc>
        <w:tc>
          <w:tcPr>
            <w:tcW w:type="dxa" w:w="1872"/>
          </w:tcPr>
          <w:p>
            <w:pPr>
              <w:spacing w:before="20" w:after="20" w:line="254" w:lineRule="auto"/>
            </w:pPr>
          </w:p>
        </w:tc>
        <w:tc>
          <w:tcPr>
            <w:tcW w:type="dxa" w:w="1872"/>
          </w:tcPr>
          <w:p>
            <w:pPr>
              <w:spacing w:before="20" w:after="20" w:line="254" w:lineRule="auto"/>
            </w:pPr>
          </w:p>
        </w:tc>
        <w:tc>
          <w:tcPr>
            <w:tcW w:type="dxa" w:w="1498"/>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r>
    </w:tbl>
    <w:p>
      <w:pPr>
        <w:spacing w:after="40"/>
      </w:pPr>
    </w:p>
    <w:p>
      <w:pPr>
        <w:pStyle w:val="Heading1"/>
      </w:pPr>
      <w:r>
        <w:t>Approval and review</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Accountable owner</w:t>
            </w:r>
          </w:p>
        </w:tc>
        <w:tc>
          <w:tcPr>
            <w:tcW w:type="dxa" w:w="3744"/>
          </w:tcPr>
          <w:p>
            <w:pPr>
              <w:spacing w:before="20" w:after="20" w:line="254" w:lineRule="auto"/>
            </w:pPr>
            <w:r>
              <w:rPr>
                <w:rFonts w:ascii="Carlito" w:hAnsi="Carlito"/>
                <w:b w:val="0"/>
                <w:i w:val="0"/>
                <w:sz w:val="19"/>
              </w:rPr>
              <w:t>Name, role, qualification,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Deputy</w:t>
            </w:r>
          </w:p>
        </w:tc>
        <w:tc>
          <w:tcPr>
            <w:tcW w:type="dxa" w:w="3744"/>
          </w:tcPr>
          <w:p>
            <w:pPr>
              <w:spacing w:before="20" w:after="20" w:line="254" w:lineRule="auto"/>
            </w:pPr>
            <w:r>
              <w:rPr>
                <w:rFonts w:ascii="Carlito" w:hAnsi="Carlito"/>
                <w:b w:val="0"/>
                <w:i w:val="0"/>
                <w:sz w:val="19"/>
              </w:rPr>
              <w:t>Name, role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Approved by</w:t>
            </w:r>
          </w:p>
        </w:tc>
        <w:tc>
          <w:tcPr>
            <w:tcW w:type="dxa" w:w="3744"/>
          </w:tcPr>
          <w:p>
            <w:pPr>
              <w:spacing w:before="20" w:after="20" w:line="254" w:lineRule="auto"/>
            </w:pPr>
            <w:r>
              <w:rPr>
                <w:rFonts w:ascii="Carlito" w:hAnsi="Carlito"/>
                <w:b w:val="0"/>
                <w:i w:val="0"/>
                <w:sz w:val="19"/>
              </w:rPr>
              <w:t>Name, role,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Review interval and next review date</w:t>
            </w:r>
          </w:p>
        </w:tc>
        <w:tc>
          <w:tcPr>
            <w:tcW w:type="dxa" w:w="3744"/>
          </w:tcPr>
          <w:p>
            <w:pPr>
              <w:spacing w:before="20" w:after="20" w:line="254" w:lineRule="auto"/>
            </w:pPr>
            <w:r>
              <w:rPr>
                <w:rFonts w:ascii="Carlito" w:hAnsi="Carlito"/>
                <w:b w:val="0"/>
                <w:i w:val="0"/>
                <w:sz w:val="19"/>
              </w:rPr>
              <w:t>Interval, date, and the change events that force an earlier review</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T-21 AI Use-Case Validation and Oversight Checklist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