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T-22 — Special-Population Assessment Checklist</w:t>
      </w:r>
    </w:p>
    <w:p>
      <w:pPr>
        <w:spacing w:after="20"/>
      </w:pPr>
      <w:r>
        <w:rPr>
          <w:rFonts w:ascii="Caladea" w:hAnsi="Caladea"/>
          <w:b/>
          <w:color w:val="1E2A32"/>
          <w:sz w:val="21"/>
        </w:rPr>
        <w:t>Signal Management in Pharmacovigilance</w:t>
      </w:r>
    </w:p>
    <w:p>
      <w:pPr>
        <w:spacing w:after="120"/>
      </w:pPr>
      <w:r>
        <w:rPr>
          <w:rFonts w:ascii="Carlito" w:hAnsi="Carlito"/>
          <w:color w:val="4A5B63"/>
          <w:sz w:val="19"/>
        </w:rPr>
        <w:t>Dr. Hafez Selim, MD, PhD  ·  Selim Medical Press</w:t>
      </w:r>
    </w:p>
    <w:p>
      <w:pPr>
        <w:spacing w:before="40" w:after="160"/>
        <w:pBdr>
          <w:bottom w:val="single" w:sz="12" w:space="1" w:color="1F5661"/>
        </w:pBdr>
      </w:pPr>
    </w:p>
    <w:p>
      <w:pPr>
        <w:spacing w:after="200"/>
      </w:pPr>
      <w:r>
        <w:rPr>
          <w:rFonts w:ascii="Carlito" w:hAnsi="Carlito"/>
          <w:b/>
          <w:color w:val="1F5661"/>
          <w:sz w:val="20"/>
        </w:rPr>
        <w:t xml:space="preserve">When to use this tool: </w:t>
      </w:r>
      <w:r>
        <w:rPr>
          <w:rFonts w:ascii="Carlito" w:hAnsi="Carlito"/>
          <w:color w:val="1E2A32"/>
          <w:sz w:val="20"/>
        </w:rPr>
        <w:t>Complete before any special-population analysis is interpreted — vaccines, pregnancy, oncology and rare disease, medication errors and misuse, biologics and combination products.</w:t>
      </w:r>
    </w:p>
    <w:p>
      <w:r>
        <w:t>Routine spontaneous screening assumes that a product's reports can be compared with the rest of the database, that the event is not an expected feature of the treated population, and that pharmacology is the mechanism under suspicion. Each setting below breaks at least one of those assumptions, and the minimum data required to interpret a finding grows accordingly.</w:t>
      </w:r>
    </w:p>
    <w:p>
      <w:pPr>
        <w:pStyle w:val="Prompt"/>
      </w:pPr>
      <w:r>
        <w:t>The eight core items are deliberately short: each is a question whose unanswered state invalidates the estimate rather than merely weakening it. Used at the start, the checklist determines what data must be assembled. Used at review, it explains why a number that looks decisive is not.</w:t>
      </w:r>
    </w:p>
    <w:p>
      <w:pPr>
        <w:pStyle w:val="Heading1"/>
      </w:pPr>
      <w:r>
        <w:t>Part A — Core checklist</w:t>
      </w:r>
    </w:p>
    <w:tbl>
      <w:tblPr>
        <w:tblStyle w:val="ToolkitTable"/>
        <w:tblW w:type="auto" w:w="0"/>
        <w:jc w:val="left"/>
        <w:tblLayout w:type="fixed"/>
        <w:tblLook w:val="04A0" w:firstRow="1" w:lastRow="0" w:firstColumn="0" w:lastColumn="0" w:noHBand="0" w:noVBand="1"/>
      </w:tblPr>
      <w:tblGrid>
        <w:gridCol w:w="374"/>
        <w:gridCol w:w="1498"/>
        <w:gridCol w:w="4680"/>
        <w:gridCol w:w="1872"/>
        <w:gridCol w:w="936"/>
      </w:tblGrid>
      <w:tr>
        <w:trPr>
          <w:tblHeader/>
        </w:trPr>
        <w:tc>
          <w:tcPr>
            <w:tcW w:type="dxa" w:w="374"/>
          </w:tcPr>
          <w:p>
            <w:pPr>
              <w:spacing w:before="20" w:after="20" w:line="254" w:lineRule="auto"/>
            </w:pPr>
            <w:r>
              <w:rPr>
                <w:rFonts w:ascii="Carlito" w:hAnsi="Carlito"/>
                <w:b/>
                <w:i w:val="0"/>
                <w:color w:val="FFFFFF"/>
                <w:sz w:val="19"/>
              </w:rPr>
              <w:t>#</w:t>
            </w:r>
          </w:p>
        </w:tc>
        <w:tc>
          <w:tcPr>
            <w:tcW w:type="dxa" w:w="1498"/>
          </w:tcPr>
          <w:p>
            <w:pPr>
              <w:spacing w:before="20" w:after="20" w:line="254" w:lineRule="auto"/>
            </w:pPr>
            <w:r>
              <w:rPr>
                <w:rFonts w:ascii="Carlito" w:hAnsi="Carlito"/>
                <w:b/>
                <w:i w:val="0"/>
                <w:color w:val="FFFFFF"/>
                <w:sz w:val="19"/>
              </w:rPr>
              <w:t>Item</w:t>
            </w:r>
          </w:p>
        </w:tc>
        <w:tc>
          <w:tcPr>
            <w:tcW w:type="dxa" w:w="4680"/>
          </w:tcPr>
          <w:p>
            <w:pPr>
              <w:spacing w:before="20" w:after="20" w:line="254" w:lineRule="auto"/>
            </w:pPr>
            <w:r>
              <w:rPr>
                <w:rFonts w:ascii="Carlito" w:hAnsi="Carlito"/>
                <w:b/>
                <w:i w:val="0"/>
                <w:color w:val="FFFFFF"/>
                <w:sz w:val="19"/>
              </w:rPr>
              <w:t>Question to answer before interpreting the estimate</w:t>
            </w:r>
          </w:p>
        </w:tc>
        <w:tc>
          <w:tcPr>
            <w:tcW w:type="dxa" w:w="1872"/>
          </w:tcPr>
          <w:p>
            <w:pPr>
              <w:spacing w:before="20" w:after="20" w:line="254" w:lineRule="auto"/>
            </w:pPr>
            <w:r>
              <w:rPr>
                <w:rFonts w:ascii="Carlito" w:hAnsi="Carlito"/>
                <w:b/>
                <w:i w:val="0"/>
                <w:color w:val="FFFFFF"/>
                <w:sz w:val="19"/>
              </w:rPr>
              <w:t>Answer</w:t>
            </w:r>
          </w:p>
        </w:tc>
        <w:tc>
          <w:tcPr>
            <w:tcW w:type="dxa" w:w="936"/>
          </w:tcPr>
          <w:p>
            <w:pPr>
              <w:spacing w:before="20" w:after="20" w:line="254" w:lineRule="auto"/>
            </w:pPr>
            <w:r>
              <w:rPr>
                <w:rFonts w:ascii="Carlito" w:hAnsi="Carlito"/>
                <w:b/>
                <w:i w:val="0"/>
                <w:color w:val="FFFFFF"/>
                <w:sz w:val="19"/>
              </w:rPr>
              <w:t>Answered?</w:t>
            </w:r>
          </w:p>
        </w:tc>
      </w:tr>
      <w:tr>
        <w:tc>
          <w:tcPr>
            <w:tcW w:type="dxa" w:w="374"/>
          </w:tcPr>
          <w:p>
            <w:pPr>
              <w:spacing w:before="20" w:after="20" w:line="254" w:lineRule="auto"/>
            </w:pPr>
            <w:r>
              <w:rPr>
                <w:rFonts w:ascii="Carlito" w:hAnsi="Carlito"/>
                <w:b w:val="0"/>
                <w:i w:val="0"/>
                <w:sz w:val="19"/>
              </w:rPr>
              <w:t>1</w:t>
            </w:r>
          </w:p>
        </w:tc>
        <w:tc>
          <w:tcPr>
            <w:tcW w:type="dxa" w:w="1498"/>
          </w:tcPr>
          <w:p>
            <w:pPr>
              <w:spacing w:before="20" w:after="20" w:line="254" w:lineRule="auto"/>
            </w:pPr>
            <w:r>
              <w:rPr>
                <w:rFonts w:ascii="Carlito" w:hAnsi="Carlito"/>
                <w:b w:val="0"/>
                <w:i w:val="0"/>
                <w:sz w:val="19"/>
              </w:rPr>
              <w:t>Background rate</w:t>
            </w:r>
          </w:p>
        </w:tc>
        <w:tc>
          <w:tcPr>
            <w:tcW w:type="dxa" w:w="4680"/>
          </w:tcPr>
          <w:p>
            <w:pPr>
              <w:spacing w:before="20" w:after="20" w:line="254" w:lineRule="auto"/>
            </w:pPr>
            <w:r>
              <w:rPr>
                <w:rFonts w:ascii="Carlito" w:hAnsi="Carlito"/>
                <w:b w:val="0"/>
                <w:i w:val="0"/>
                <w:sz w:val="19"/>
              </w:rPr>
              <w:t>What is the source, the population it describes, the ascertainment method, and its own published range?</w:t>
            </w:r>
          </w:p>
          <w:p>
            <w:pPr>
              <w:spacing w:before="20" w:after="20" w:line="254" w:lineRule="auto"/>
            </w:pPr>
            <w:r>
              <w:rPr>
                <w:rFonts w:ascii="Carlito" w:hAnsi="Carlito"/>
                <w:b w:val="0"/>
                <w:i/>
                <w:color w:val="4A5B63"/>
                <w:sz w:val="17"/>
              </w:rPr>
              <w:t>The published range is the part usually omitted, and it often moves the point estimate more than any analytic choice.</w:t>
            </w:r>
          </w:p>
        </w:tc>
        <w:tc>
          <w:tcPr>
            <w:tcW w:type="dxa" w:w="1872"/>
          </w:tcPr>
          <w:p>
            <w:pPr>
              <w:spacing w:before="20" w:after="20" w:line="254" w:lineRule="auto"/>
            </w:pPr>
          </w:p>
        </w:tc>
        <w:tc>
          <w:tcPr>
            <w:tcW w:type="dxa" w:w="936"/>
          </w:tcPr>
          <w:p>
            <w:pPr>
              <w:spacing w:before="20" w:after="20" w:line="254" w:lineRule="auto"/>
            </w:pPr>
          </w:p>
        </w:tc>
      </w:tr>
      <w:tr>
        <w:tc>
          <w:tcPr>
            <w:tcW w:type="dxa" w:w="374"/>
          </w:tcPr>
          <w:p>
            <w:pPr>
              <w:spacing w:before="20" w:after="20" w:line="254" w:lineRule="auto"/>
            </w:pPr>
            <w:r>
              <w:rPr>
                <w:rFonts w:ascii="Carlito" w:hAnsi="Carlito"/>
                <w:b w:val="0"/>
                <w:i w:val="0"/>
                <w:sz w:val="19"/>
              </w:rPr>
              <w:t>2</w:t>
            </w:r>
          </w:p>
        </w:tc>
        <w:tc>
          <w:tcPr>
            <w:tcW w:type="dxa" w:w="1498"/>
          </w:tcPr>
          <w:p>
            <w:pPr>
              <w:spacing w:before="20" w:after="20" w:line="254" w:lineRule="auto"/>
            </w:pPr>
            <w:r>
              <w:rPr>
                <w:rFonts w:ascii="Carlito" w:hAnsi="Carlito"/>
                <w:b w:val="0"/>
                <w:i w:val="0"/>
                <w:sz w:val="19"/>
              </w:rPr>
              <w:t>Exposure timing</w:t>
            </w:r>
          </w:p>
        </w:tc>
        <w:tc>
          <w:tcPr>
            <w:tcW w:type="dxa" w:w="4680"/>
          </w:tcPr>
          <w:p>
            <w:pPr>
              <w:spacing w:before="20" w:after="20" w:line="254" w:lineRule="auto"/>
            </w:pPr>
            <w:r>
              <w:rPr>
                <w:rFonts w:ascii="Carlito" w:hAnsi="Carlito"/>
                <w:b w:val="0"/>
                <w:i w:val="0"/>
                <w:sz w:val="19"/>
              </w:rPr>
              <w:t>Is exposure dated precisely enough for the hypothesized window (dose number, gestational week, treatment line, lot date)?</w:t>
            </w:r>
          </w:p>
          <w:p>
            <w:pPr>
              <w:spacing w:before="20" w:after="20" w:line="254" w:lineRule="auto"/>
            </w:pPr>
            <w:r>
              <w:rPr>
                <w:rFonts w:ascii="Carlito" w:hAnsi="Carlito"/>
                <w:b w:val="0"/>
                <w:i/>
                <w:color w:val="4A5B63"/>
                <w:sz w:val="17"/>
              </w:rPr>
              <w:t>'First-trimester exposure' without the gestational week cannot test an anomaly-specific critical period.</w:t>
            </w:r>
          </w:p>
        </w:tc>
        <w:tc>
          <w:tcPr>
            <w:tcW w:type="dxa" w:w="1872"/>
          </w:tcPr>
          <w:p>
            <w:pPr>
              <w:spacing w:before="20" w:after="20" w:line="254" w:lineRule="auto"/>
            </w:pPr>
          </w:p>
        </w:tc>
        <w:tc>
          <w:tcPr>
            <w:tcW w:type="dxa" w:w="936"/>
          </w:tcPr>
          <w:p>
            <w:pPr>
              <w:spacing w:before="20" w:after="20" w:line="254" w:lineRule="auto"/>
            </w:pPr>
          </w:p>
        </w:tc>
      </w:tr>
      <w:tr>
        <w:tc>
          <w:tcPr>
            <w:tcW w:type="dxa" w:w="374"/>
          </w:tcPr>
          <w:p>
            <w:pPr>
              <w:spacing w:before="20" w:after="20" w:line="254" w:lineRule="auto"/>
            </w:pPr>
            <w:r>
              <w:rPr>
                <w:rFonts w:ascii="Carlito" w:hAnsi="Carlito"/>
                <w:b w:val="0"/>
                <w:i w:val="0"/>
                <w:sz w:val="19"/>
              </w:rPr>
              <w:t>3</w:t>
            </w:r>
          </w:p>
        </w:tc>
        <w:tc>
          <w:tcPr>
            <w:tcW w:type="dxa" w:w="1498"/>
          </w:tcPr>
          <w:p>
            <w:pPr>
              <w:spacing w:before="20" w:after="20" w:line="254" w:lineRule="auto"/>
            </w:pPr>
            <w:r>
              <w:rPr>
                <w:rFonts w:ascii="Carlito" w:hAnsi="Carlito"/>
                <w:b w:val="0"/>
                <w:i w:val="0"/>
                <w:sz w:val="19"/>
              </w:rPr>
              <w:t>Case definition</w:t>
            </w:r>
          </w:p>
        </w:tc>
        <w:tc>
          <w:tcPr>
            <w:tcW w:type="dxa" w:w="4680"/>
          </w:tcPr>
          <w:p>
            <w:pPr>
              <w:spacing w:before="20" w:after="20" w:line="254" w:lineRule="auto"/>
            </w:pPr>
            <w:r>
              <w:rPr>
                <w:rFonts w:ascii="Carlito" w:hAnsi="Carlito"/>
                <w:b w:val="0"/>
                <w:i w:val="0"/>
                <w:sz w:val="19"/>
              </w:rPr>
              <w:t>Is there a graded clinical definition, and how many cases meet each level?</w:t>
            </w:r>
          </w:p>
          <w:p>
            <w:pPr>
              <w:spacing w:before="20" w:after="20" w:line="254" w:lineRule="auto"/>
            </w:pPr>
            <w:r>
              <w:rPr>
                <w:rFonts w:ascii="Carlito" w:hAnsi="Carlito"/>
                <w:b w:val="0"/>
                <w:i/>
                <w:color w:val="4A5B63"/>
                <w:sz w:val="17"/>
              </w:rPr>
              <w:t>Give the count at each level. The primary analysis uses the higher-certainty levels; the rest enter sensitivity analyses.</w:t>
            </w:r>
          </w:p>
        </w:tc>
        <w:tc>
          <w:tcPr>
            <w:tcW w:type="dxa" w:w="1872"/>
          </w:tcPr>
          <w:p>
            <w:pPr>
              <w:spacing w:before="20" w:after="20" w:line="254" w:lineRule="auto"/>
            </w:pPr>
          </w:p>
        </w:tc>
        <w:tc>
          <w:tcPr>
            <w:tcW w:type="dxa" w:w="936"/>
          </w:tcPr>
          <w:p>
            <w:pPr>
              <w:spacing w:before="20" w:after="20" w:line="254" w:lineRule="auto"/>
            </w:pPr>
          </w:p>
        </w:tc>
      </w:tr>
      <w:tr>
        <w:tc>
          <w:tcPr>
            <w:tcW w:type="dxa" w:w="374"/>
          </w:tcPr>
          <w:p>
            <w:pPr>
              <w:spacing w:before="20" w:after="20" w:line="254" w:lineRule="auto"/>
            </w:pPr>
            <w:r>
              <w:rPr>
                <w:rFonts w:ascii="Carlito" w:hAnsi="Carlito"/>
                <w:b w:val="0"/>
                <w:i w:val="0"/>
                <w:sz w:val="19"/>
              </w:rPr>
              <w:t>4</w:t>
            </w:r>
          </w:p>
        </w:tc>
        <w:tc>
          <w:tcPr>
            <w:tcW w:type="dxa" w:w="1498"/>
          </w:tcPr>
          <w:p>
            <w:pPr>
              <w:spacing w:before="20" w:after="20" w:line="254" w:lineRule="auto"/>
            </w:pPr>
            <w:r>
              <w:rPr>
                <w:rFonts w:ascii="Carlito" w:hAnsi="Carlito"/>
                <w:b w:val="0"/>
                <w:i w:val="0"/>
                <w:sz w:val="19"/>
              </w:rPr>
              <w:t>Denominator</w:t>
            </w:r>
          </w:p>
        </w:tc>
        <w:tc>
          <w:tcPr>
            <w:tcW w:type="dxa" w:w="4680"/>
          </w:tcPr>
          <w:p>
            <w:pPr>
              <w:spacing w:before="20" w:after="20" w:line="254" w:lineRule="auto"/>
            </w:pPr>
            <w:r>
              <w:rPr>
                <w:rFonts w:ascii="Carlito" w:hAnsi="Carlito"/>
                <w:b w:val="0"/>
                <w:i w:val="0"/>
                <w:sz w:val="19"/>
              </w:rPr>
              <w:t>What person-time or population is at risk, how was it derived, and what does it assume?</w:t>
            </w:r>
          </w:p>
          <w:p>
            <w:pPr>
              <w:spacing w:before="20" w:after="20" w:line="254" w:lineRule="auto"/>
            </w:pPr>
            <w:r>
              <w:rPr>
                <w:rFonts w:ascii="Carlito" w:hAnsi="Carlito"/>
                <w:b w:val="0"/>
                <w:i/>
                <w:color w:val="4A5B63"/>
                <w:sz w:val="17"/>
              </w:rPr>
              <w:t>Show the arithmetic. Cross-reference T-12.</w:t>
            </w:r>
          </w:p>
        </w:tc>
        <w:tc>
          <w:tcPr>
            <w:tcW w:type="dxa" w:w="1872"/>
          </w:tcPr>
          <w:p>
            <w:pPr>
              <w:spacing w:before="20" w:after="20" w:line="254" w:lineRule="auto"/>
            </w:pPr>
          </w:p>
        </w:tc>
        <w:tc>
          <w:tcPr>
            <w:tcW w:type="dxa" w:w="936"/>
          </w:tcPr>
          <w:p>
            <w:pPr>
              <w:spacing w:before="20" w:after="20" w:line="254" w:lineRule="auto"/>
            </w:pPr>
          </w:p>
        </w:tc>
      </w:tr>
      <w:tr>
        <w:tc>
          <w:tcPr>
            <w:tcW w:type="dxa" w:w="374"/>
          </w:tcPr>
          <w:p>
            <w:pPr>
              <w:spacing w:before="20" w:after="20" w:line="254" w:lineRule="auto"/>
            </w:pPr>
            <w:r>
              <w:rPr>
                <w:rFonts w:ascii="Carlito" w:hAnsi="Carlito"/>
                <w:b w:val="0"/>
                <w:i w:val="0"/>
                <w:sz w:val="19"/>
              </w:rPr>
              <w:t>5</w:t>
            </w:r>
          </w:p>
        </w:tc>
        <w:tc>
          <w:tcPr>
            <w:tcW w:type="dxa" w:w="1498"/>
          </w:tcPr>
          <w:p>
            <w:pPr>
              <w:spacing w:before="20" w:after="20" w:line="254" w:lineRule="auto"/>
            </w:pPr>
            <w:r>
              <w:rPr>
                <w:rFonts w:ascii="Carlito" w:hAnsi="Carlito"/>
                <w:b w:val="0"/>
                <w:i w:val="0"/>
                <w:sz w:val="19"/>
              </w:rPr>
              <w:t>Confounders</w:t>
            </w:r>
          </w:p>
        </w:tc>
        <w:tc>
          <w:tcPr>
            <w:tcW w:type="dxa" w:w="4680"/>
          </w:tcPr>
          <w:p>
            <w:pPr>
              <w:spacing w:before="20" w:after="20" w:line="254" w:lineRule="auto"/>
            </w:pPr>
            <w:r>
              <w:rPr>
                <w:rFonts w:ascii="Carlito" w:hAnsi="Carlito"/>
                <w:b w:val="0"/>
                <w:i w:val="0"/>
                <w:sz w:val="19"/>
              </w:rPr>
              <w:t>What in the disease, regimen, device or setting could produce this pattern without the product?</w:t>
            </w:r>
          </w:p>
        </w:tc>
        <w:tc>
          <w:tcPr>
            <w:tcW w:type="dxa" w:w="1872"/>
          </w:tcPr>
          <w:p>
            <w:pPr>
              <w:spacing w:before="20" w:after="20" w:line="254" w:lineRule="auto"/>
            </w:pPr>
          </w:p>
        </w:tc>
        <w:tc>
          <w:tcPr>
            <w:tcW w:type="dxa" w:w="936"/>
          </w:tcPr>
          <w:p>
            <w:pPr>
              <w:spacing w:before="20" w:after="20" w:line="254" w:lineRule="auto"/>
            </w:pPr>
          </w:p>
        </w:tc>
      </w:tr>
      <w:tr>
        <w:tc>
          <w:tcPr>
            <w:tcW w:type="dxa" w:w="374"/>
          </w:tcPr>
          <w:p>
            <w:pPr>
              <w:spacing w:before="20" w:after="20" w:line="254" w:lineRule="auto"/>
            </w:pPr>
            <w:r>
              <w:rPr>
                <w:rFonts w:ascii="Carlito" w:hAnsi="Carlito"/>
                <w:b w:val="0"/>
                <w:i w:val="0"/>
                <w:sz w:val="19"/>
              </w:rPr>
              <w:t>6</w:t>
            </w:r>
          </w:p>
        </w:tc>
        <w:tc>
          <w:tcPr>
            <w:tcW w:type="dxa" w:w="1498"/>
          </w:tcPr>
          <w:p>
            <w:pPr>
              <w:spacing w:before="20" w:after="20" w:line="254" w:lineRule="auto"/>
            </w:pPr>
            <w:r>
              <w:rPr>
                <w:rFonts w:ascii="Carlito" w:hAnsi="Carlito"/>
                <w:b w:val="0"/>
                <w:i w:val="0"/>
                <w:sz w:val="19"/>
              </w:rPr>
              <w:t>Comparator</w:t>
            </w:r>
          </w:p>
        </w:tc>
        <w:tc>
          <w:tcPr>
            <w:tcW w:type="dxa" w:w="4680"/>
          </w:tcPr>
          <w:p>
            <w:pPr>
              <w:spacing w:before="20" w:after="20" w:line="254" w:lineRule="auto"/>
            </w:pPr>
            <w:r>
              <w:rPr>
                <w:rFonts w:ascii="Carlito" w:hAnsi="Carlito"/>
                <w:b w:val="0"/>
                <w:i w:val="0"/>
                <w:sz w:val="19"/>
              </w:rPr>
              <w:t>Is there a concurrent, disease-matched or self-controlled comparison, and if not, what replaces it?</w:t>
            </w:r>
          </w:p>
          <w:p>
            <w:pPr>
              <w:spacing w:before="20" w:after="20" w:line="254" w:lineRule="auto"/>
            </w:pPr>
            <w:r>
              <w:rPr>
                <w:rFonts w:ascii="Carlito" w:hAnsi="Carlito"/>
                <w:b w:val="0"/>
                <w:i/>
                <w:color w:val="4A5B63"/>
                <w:sz w:val="17"/>
              </w:rPr>
              <w:t>'No credible comparator; the question is reframed as a pattern question' is a finding. A blank is not.</w:t>
            </w:r>
          </w:p>
        </w:tc>
        <w:tc>
          <w:tcPr>
            <w:tcW w:type="dxa" w:w="1872"/>
          </w:tcPr>
          <w:p>
            <w:pPr>
              <w:spacing w:before="20" w:after="20" w:line="254" w:lineRule="auto"/>
            </w:pPr>
          </w:p>
        </w:tc>
        <w:tc>
          <w:tcPr>
            <w:tcW w:type="dxa" w:w="936"/>
          </w:tcPr>
          <w:p>
            <w:pPr>
              <w:spacing w:before="20" w:after="20" w:line="254" w:lineRule="auto"/>
            </w:pPr>
          </w:p>
        </w:tc>
      </w:tr>
      <w:tr>
        <w:tc>
          <w:tcPr>
            <w:tcW w:type="dxa" w:w="374"/>
          </w:tcPr>
          <w:p>
            <w:pPr>
              <w:spacing w:before="20" w:after="20" w:line="254" w:lineRule="auto"/>
            </w:pPr>
            <w:r>
              <w:rPr>
                <w:rFonts w:ascii="Carlito" w:hAnsi="Carlito"/>
                <w:b w:val="0"/>
                <w:i w:val="0"/>
                <w:sz w:val="19"/>
              </w:rPr>
              <w:t>7</w:t>
            </w:r>
          </w:p>
        </w:tc>
        <w:tc>
          <w:tcPr>
            <w:tcW w:type="dxa" w:w="1498"/>
          </w:tcPr>
          <w:p>
            <w:pPr>
              <w:spacing w:before="20" w:after="20" w:line="254" w:lineRule="auto"/>
            </w:pPr>
            <w:r>
              <w:rPr>
                <w:rFonts w:ascii="Carlito" w:hAnsi="Carlito"/>
                <w:b w:val="0"/>
                <w:i w:val="0"/>
                <w:sz w:val="19"/>
              </w:rPr>
              <w:t>Follow-up completeness</w:t>
            </w:r>
          </w:p>
        </w:tc>
        <w:tc>
          <w:tcPr>
            <w:tcW w:type="dxa" w:w="4680"/>
          </w:tcPr>
          <w:p>
            <w:pPr>
              <w:spacing w:before="20" w:after="20" w:line="254" w:lineRule="auto"/>
            </w:pPr>
            <w:r>
              <w:rPr>
                <w:rFonts w:ascii="Carlito" w:hAnsi="Carlito"/>
                <w:b w:val="0"/>
                <w:i w:val="0"/>
                <w:sz w:val="19"/>
              </w:rPr>
              <w:t>What proportion of exposed individuals has a known outcome, and are the missing ones different?</w:t>
            </w:r>
          </w:p>
          <w:p>
            <w:pPr>
              <w:spacing w:before="20" w:after="20" w:line="254" w:lineRule="auto"/>
            </w:pPr>
            <w:r>
              <w:rPr>
                <w:rFonts w:ascii="Carlito" w:hAnsi="Carlito"/>
                <w:b w:val="0"/>
                <w:i/>
                <w:color w:val="4A5B63"/>
                <w:sz w:val="17"/>
              </w:rPr>
              <w:t>State the loss-to-follow-up percentage and whether the lost differ from the followed.</w:t>
            </w:r>
          </w:p>
        </w:tc>
        <w:tc>
          <w:tcPr>
            <w:tcW w:type="dxa" w:w="1872"/>
          </w:tcPr>
          <w:p>
            <w:pPr>
              <w:spacing w:before="20" w:after="20" w:line="254" w:lineRule="auto"/>
            </w:pPr>
          </w:p>
        </w:tc>
        <w:tc>
          <w:tcPr>
            <w:tcW w:type="dxa" w:w="936"/>
          </w:tcPr>
          <w:p>
            <w:pPr>
              <w:spacing w:before="20" w:after="20" w:line="254" w:lineRule="auto"/>
            </w:pPr>
          </w:p>
        </w:tc>
      </w:tr>
      <w:tr>
        <w:tc>
          <w:tcPr>
            <w:tcW w:type="dxa" w:w="374"/>
          </w:tcPr>
          <w:p>
            <w:pPr>
              <w:spacing w:before="20" w:after="20" w:line="254" w:lineRule="auto"/>
            </w:pPr>
            <w:r>
              <w:rPr>
                <w:rFonts w:ascii="Carlito" w:hAnsi="Carlito"/>
                <w:b w:val="0"/>
                <w:i w:val="0"/>
                <w:sz w:val="19"/>
              </w:rPr>
              <w:t>8</w:t>
            </w:r>
          </w:p>
        </w:tc>
        <w:tc>
          <w:tcPr>
            <w:tcW w:type="dxa" w:w="1498"/>
          </w:tcPr>
          <w:p>
            <w:pPr>
              <w:spacing w:before="20" w:after="20" w:line="254" w:lineRule="auto"/>
            </w:pPr>
            <w:r>
              <w:rPr>
                <w:rFonts w:ascii="Carlito" w:hAnsi="Carlito"/>
                <w:b w:val="0"/>
                <w:i w:val="0"/>
                <w:sz w:val="19"/>
              </w:rPr>
              <w:t>Sensitivity analyses</w:t>
            </w:r>
          </w:p>
        </w:tc>
        <w:tc>
          <w:tcPr>
            <w:tcW w:type="dxa" w:w="4680"/>
          </w:tcPr>
          <w:p>
            <w:pPr>
              <w:spacing w:before="20" w:after="20" w:line="254" w:lineRule="auto"/>
            </w:pPr>
            <w:r>
              <w:rPr>
                <w:rFonts w:ascii="Carlito" w:hAnsi="Carlito"/>
                <w:b w:val="0"/>
                <w:i w:val="0"/>
                <w:sz w:val="19"/>
              </w:rPr>
              <w:t>How far does the estimate move under each plausible alternative assumption?</w:t>
            </w:r>
          </w:p>
          <w:p>
            <w:pPr>
              <w:spacing w:before="20" w:after="20" w:line="254" w:lineRule="auto"/>
            </w:pPr>
            <w:r>
              <w:rPr>
                <w:rFonts w:ascii="Carlito" w:hAnsi="Carlito"/>
                <w:b w:val="0"/>
                <w:i/>
                <w:color w:val="4A5B63"/>
                <w:sz w:val="17"/>
              </w:rPr>
              <w:t>Tabulate. If two defensible assumptions produce estimates that differ twofold, the point estimate is not the finding.</w:t>
            </w:r>
          </w:p>
        </w:tc>
        <w:tc>
          <w:tcPr>
            <w:tcW w:type="dxa" w:w="1872"/>
          </w:tcPr>
          <w:p>
            <w:pPr>
              <w:spacing w:before="20" w:after="20" w:line="254" w:lineRule="auto"/>
            </w:pPr>
          </w:p>
        </w:tc>
        <w:tc>
          <w:tcPr>
            <w:tcW w:type="dxa" w:w="936"/>
          </w:tcPr>
          <w:p>
            <w:pPr>
              <w:spacing w:before="20" w:after="20" w:line="254" w:lineRule="auto"/>
            </w:pPr>
          </w:p>
        </w:tc>
      </w:tr>
    </w:tbl>
    <w:p>
      <w:pPr>
        <w:spacing w:after="40"/>
      </w:pPr>
    </w:p>
    <w:p>
      <w:pPr>
        <w:pStyle w:val="Heading1"/>
      </w:pPr>
      <w:r>
        <w:t>Part B — Minimum additional data by setting</w:t>
      </w:r>
    </w:p>
    <w:tbl>
      <w:tblPr>
        <w:tblStyle w:val="ToolkitTable"/>
        <w:tblW w:type="auto" w:w="0"/>
        <w:jc w:val="left"/>
        <w:tblLayout w:type="fixed"/>
        <w:tblLook w:val="04A0" w:firstRow="1" w:lastRow="0" w:firstColumn="0" w:lastColumn="0" w:noHBand="0" w:noVBand="1"/>
      </w:tblPr>
      <w:tblGrid>
        <w:gridCol w:w="1872"/>
        <w:gridCol w:w="3182"/>
        <w:gridCol w:w="3182"/>
        <w:gridCol w:w="1123"/>
      </w:tblGrid>
      <w:tr>
        <w:trPr>
          <w:tblHeader/>
        </w:trPr>
        <w:tc>
          <w:tcPr>
            <w:tcW w:type="dxa" w:w="1872"/>
          </w:tcPr>
          <w:p>
            <w:pPr>
              <w:spacing w:before="20" w:after="20" w:line="254" w:lineRule="auto"/>
            </w:pPr>
            <w:r>
              <w:rPr>
                <w:rFonts w:ascii="Carlito" w:hAnsi="Carlito"/>
                <w:b/>
                <w:i w:val="0"/>
                <w:color w:val="FFFFFF"/>
                <w:sz w:val="19"/>
              </w:rPr>
              <w:t>Setting</w:t>
            </w:r>
          </w:p>
        </w:tc>
        <w:tc>
          <w:tcPr>
            <w:tcW w:type="dxa" w:w="3182"/>
          </w:tcPr>
          <w:p>
            <w:pPr>
              <w:spacing w:before="20" w:after="20" w:line="254" w:lineRule="auto"/>
            </w:pPr>
            <w:r>
              <w:rPr>
                <w:rFonts w:ascii="Carlito" w:hAnsi="Carlito"/>
                <w:b/>
                <w:i w:val="0"/>
                <w:color w:val="FFFFFF"/>
                <w:sz w:val="19"/>
              </w:rPr>
              <w:t>Minimum additional data</w:t>
            </w:r>
          </w:p>
        </w:tc>
        <w:tc>
          <w:tcPr>
            <w:tcW w:type="dxa" w:w="3182"/>
          </w:tcPr>
          <w:p>
            <w:pPr>
              <w:spacing w:before="20" w:after="20" w:line="254" w:lineRule="auto"/>
            </w:pPr>
            <w:r>
              <w:rPr>
                <w:rFonts w:ascii="Carlito" w:hAnsi="Carlito"/>
                <w:b/>
                <w:i w:val="0"/>
                <w:color w:val="FFFFFF"/>
                <w:sz w:val="19"/>
              </w:rPr>
              <w:t>Preferred methods</w:t>
            </w:r>
          </w:p>
        </w:tc>
        <w:tc>
          <w:tcPr>
            <w:tcW w:type="dxa" w:w="1123"/>
          </w:tcPr>
          <w:p>
            <w:pPr>
              <w:spacing w:before="20" w:after="20" w:line="254" w:lineRule="auto"/>
            </w:pPr>
            <w:r>
              <w:rPr>
                <w:rFonts w:ascii="Carlito" w:hAnsi="Carlito"/>
                <w:b/>
                <w:i w:val="0"/>
                <w:color w:val="FFFFFF"/>
                <w:sz w:val="19"/>
              </w:rPr>
              <w:t>Held?</w:t>
            </w:r>
          </w:p>
        </w:tc>
      </w:tr>
      <w:tr>
        <w:tc>
          <w:tcPr>
            <w:tcW w:type="dxa" w:w="1872"/>
          </w:tcPr>
          <w:p>
            <w:pPr>
              <w:spacing w:before="20" w:after="20" w:line="254" w:lineRule="auto"/>
            </w:pPr>
            <w:r>
              <w:rPr>
                <w:rFonts w:ascii="Carlito" w:hAnsi="Carlito"/>
                <w:b w:val="0"/>
                <w:i w:val="0"/>
                <w:sz w:val="19"/>
              </w:rPr>
              <w:t>Vaccines and adverse events of special interest</w:t>
            </w:r>
          </w:p>
        </w:tc>
        <w:tc>
          <w:tcPr>
            <w:tcW w:type="dxa" w:w="3182"/>
          </w:tcPr>
          <w:p>
            <w:pPr>
              <w:spacing w:before="20" w:after="20" w:line="254" w:lineRule="auto"/>
            </w:pPr>
            <w:r>
              <w:rPr>
                <w:rFonts w:ascii="Carlito" w:hAnsi="Carlito"/>
                <w:b w:val="0"/>
                <w:i w:val="0"/>
                <w:sz w:val="19"/>
              </w:rPr>
              <w:t>Doses by dose number, age band and date; predefined graded case definition; prespecified risk interval; background rate with its uncertainty</w:t>
            </w:r>
          </w:p>
        </w:tc>
        <w:tc>
          <w:tcPr>
            <w:tcW w:type="dxa" w:w="3182"/>
          </w:tcPr>
          <w:p>
            <w:pPr>
              <w:spacing w:before="20" w:after="20" w:line="254" w:lineRule="auto"/>
            </w:pPr>
            <w:r>
              <w:rPr>
                <w:rFonts w:ascii="Carlito" w:hAnsi="Carlito"/>
                <w:b w:val="0"/>
                <w:i w:val="0"/>
                <w:sz w:val="19"/>
              </w:rPr>
              <w:t>Observed-to-expected with sensitivity analyses; self-controlled case series; sequential monitoring in linked data</w:t>
            </w:r>
          </w:p>
        </w:tc>
        <w:tc>
          <w:tcPr>
            <w:tcW w:type="dxa" w:w="1123"/>
          </w:tcPr>
          <w:p>
            <w:pPr>
              <w:spacing w:before="20" w:after="20" w:line="254" w:lineRule="auto"/>
            </w:pPr>
          </w:p>
        </w:tc>
      </w:tr>
      <w:tr>
        <w:tc>
          <w:tcPr>
            <w:tcW w:type="dxa" w:w="1872"/>
          </w:tcPr>
          <w:p>
            <w:pPr>
              <w:spacing w:before="20" w:after="20" w:line="254" w:lineRule="auto"/>
            </w:pPr>
            <w:r>
              <w:rPr>
                <w:rFonts w:ascii="Carlito" w:hAnsi="Carlito"/>
                <w:b w:val="0"/>
                <w:i w:val="0"/>
                <w:sz w:val="19"/>
              </w:rPr>
              <w:t>Pregnancy</w:t>
            </w:r>
          </w:p>
        </w:tc>
        <w:tc>
          <w:tcPr>
            <w:tcW w:type="dxa" w:w="3182"/>
          </w:tcPr>
          <w:p>
            <w:pPr>
              <w:spacing w:before="20" w:after="20" w:line="254" w:lineRule="auto"/>
            </w:pPr>
            <w:r>
              <w:rPr>
                <w:rFonts w:ascii="Carlito" w:hAnsi="Carlito"/>
                <w:b w:val="0"/>
                <w:i w:val="0"/>
                <w:sz w:val="19"/>
              </w:rPr>
              <w:t>Gestational week at exposure and at outcome; outcome category; prospective versus retrospective ascertainment; follow-up completeness</w:t>
            </w:r>
          </w:p>
        </w:tc>
        <w:tc>
          <w:tcPr>
            <w:tcW w:type="dxa" w:w="3182"/>
          </w:tcPr>
          <w:p>
            <w:pPr>
              <w:spacing w:before="20" w:after="20" w:line="254" w:lineRule="auto"/>
            </w:pPr>
            <w:r>
              <w:rPr>
                <w:rFonts w:ascii="Carlito" w:hAnsi="Carlito"/>
                <w:b w:val="0"/>
                <w:i w:val="0"/>
                <w:sz w:val="19"/>
              </w:rPr>
              <w:t>Registry analysis against a disease-matched comparator; anomaly-specific windows; separate reporting of the three outcome classes</w:t>
            </w:r>
          </w:p>
        </w:tc>
        <w:tc>
          <w:tcPr>
            <w:tcW w:type="dxa" w:w="1123"/>
          </w:tcPr>
          <w:p>
            <w:pPr>
              <w:spacing w:before="20" w:after="20" w:line="254" w:lineRule="auto"/>
            </w:pPr>
          </w:p>
        </w:tc>
      </w:tr>
      <w:tr>
        <w:tc>
          <w:tcPr>
            <w:tcW w:type="dxa" w:w="1872"/>
          </w:tcPr>
          <w:p>
            <w:pPr>
              <w:spacing w:before="20" w:after="20" w:line="254" w:lineRule="auto"/>
            </w:pPr>
            <w:r>
              <w:rPr>
                <w:rFonts w:ascii="Carlito" w:hAnsi="Carlito"/>
                <w:b w:val="0"/>
                <w:i w:val="0"/>
                <w:sz w:val="19"/>
              </w:rPr>
              <w:t>Oncology and rare disease</w:t>
            </w:r>
          </w:p>
        </w:tc>
        <w:tc>
          <w:tcPr>
            <w:tcW w:type="dxa" w:w="3182"/>
          </w:tcPr>
          <w:p>
            <w:pPr>
              <w:spacing w:before="20" w:after="20" w:line="254" w:lineRule="auto"/>
            </w:pPr>
            <w:r>
              <w:rPr>
                <w:rFonts w:ascii="Carlito" w:hAnsi="Carlito"/>
                <w:b w:val="0"/>
                <w:i w:val="0"/>
                <w:sz w:val="19"/>
              </w:rPr>
              <w:t>Line of therapy, regimen components, performance status, disease-specific risk scores, background event rates</w:t>
            </w:r>
          </w:p>
        </w:tc>
        <w:tc>
          <w:tcPr>
            <w:tcW w:type="dxa" w:w="3182"/>
          </w:tcPr>
          <w:p>
            <w:pPr>
              <w:spacing w:before="20" w:after="20" w:line="254" w:lineRule="auto"/>
            </w:pPr>
            <w:r>
              <w:rPr>
                <w:rFonts w:ascii="Carlito" w:hAnsi="Carlito"/>
                <w:b w:val="0"/>
                <w:i w:val="0"/>
                <w:sz w:val="19"/>
              </w:rPr>
              <w:t>Randomized or actively controlled comparison; restricted comparator groups; adjudicated event review</w:t>
            </w:r>
          </w:p>
        </w:tc>
        <w:tc>
          <w:tcPr>
            <w:tcW w:type="dxa" w:w="1123"/>
          </w:tcPr>
          <w:p>
            <w:pPr>
              <w:spacing w:before="20" w:after="20" w:line="254" w:lineRule="auto"/>
            </w:pPr>
          </w:p>
        </w:tc>
      </w:tr>
      <w:tr>
        <w:tc>
          <w:tcPr>
            <w:tcW w:type="dxa" w:w="1872"/>
          </w:tcPr>
          <w:p>
            <w:pPr>
              <w:spacing w:before="20" w:after="20" w:line="254" w:lineRule="auto"/>
            </w:pPr>
            <w:r>
              <w:rPr>
                <w:rFonts w:ascii="Carlito" w:hAnsi="Carlito"/>
                <w:b w:val="0"/>
                <w:i w:val="0"/>
                <w:sz w:val="19"/>
              </w:rPr>
              <w:t>Medication errors and misuse</w:t>
            </w:r>
          </w:p>
        </w:tc>
        <w:tc>
          <w:tcPr>
            <w:tcW w:type="dxa" w:w="3182"/>
          </w:tcPr>
          <w:p>
            <w:pPr>
              <w:spacing w:before="20" w:after="20" w:line="254" w:lineRule="auto"/>
            </w:pPr>
            <w:r>
              <w:rPr>
                <w:rFonts w:ascii="Carlito" w:hAnsi="Carlito"/>
                <w:b w:val="0"/>
                <w:i w:val="0"/>
                <w:sz w:val="19"/>
              </w:rPr>
              <w:t>Error type and stage, presentation, strength, lot, country, device version, user</w:t>
            </w:r>
          </w:p>
        </w:tc>
        <w:tc>
          <w:tcPr>
            <w:tcW w:type="dxa" w:w="3182"/>
          </w:tcPr>
          <w:p>
            <w:pPr>
              <w:spacing w:before="20" w:after="20" w:line="254" w:lineRule="auto"/>
            </w:pPr>
            <w:r>
              <w:rPr>
                <w:rFonts w:ascii="Carlito" w:hAnsi="Carlito"/>
                <w:b w:val="0"/>
                <w:i w:val="0"/>
                <w:sz w:val="19"/>
              </w:rPr>
              <w:t>Period-over-period comparison; lot and geography linkage; human-factors and CAPA investigation</w:t>
            </w:r>
          </w:p>
        </w:tc>
        <w:tc>
          <w:tcPr>
            <w:tcW w:type="dxa" w:w="1123"/>
          </w:tcPr>
          <w:p>
            <w:pPr>
              <w:spacing w:before="20" w:after="20" w:line="254" w:lineRule="auto"/>
            </w:pPr>
          </w:p>
        </w:tc>
      </w:tr>
      <w:tr>
        <w:tc>
          <w:tcPr>
            <w:tcW w:type="dxa" w:w="1872"/>
          </w:tcPr>
          <w:p>
            <w:pPr>
              <w:spacing w:before="20" w:after="20" w:line="254" w:lineRule="auto"/>
            </w:pPr>
            <w:r>
              <w:rPr>
                <w:rFonts w:ascii="Carlito" w:hAnsi="Carlito"/>
                <w:b w:val="0"/>
                <w:i w:val="0"/>
                <w:sz w:val="19"/>
              </w:rPr>
              <w:t>Biologics and combination products</w:t>
            </w:r>
          </w:p>
        </w:tc>
        <w:tc>
          <w:tcPr>
            <w:tcW w:type="dxa" w:w="3182"/>
          </w:tcPr>
          <w:p>
            <w:pPr>
              <w:spacing w:before="20" w:after="20" w:line="254" w:lineRule="auto"/>
            </w:pPr>
            <w:r>
              <w:rPr>
                <w:rFonts w:ascii="Carlito" w:hAnsi="Carlito"/>
                <w:b w:val="0"/>
                <w:i w:val="0"/>
                <w:sz w:val="19"/>
              </w:rPr>
              <w:t>Brand, presentation, batch, device version, route, storage and transport history</w:t>
            </w:r>
          </w:p>
        </w:tc>
        <w:tc>
          <w:tcPr>
            <w:tcW w:type="dxa" w:w="3182"/>
          </w:tcPr>
          <w:p>
            <w:pPr>
              <w:spacing w:before="20" w:after="20" w:line="254" w:lineRule="auto"/>
            </w:pPr>
            <w:r>
              <w:rPr>
                <w:rFonts w:ascii="Carlito" w:hAnsi="Carlito"/>
                <w:b w:val="0"/>
                <w:i w:val="0"/>
                <w:sz w:val="19"/>
              </w:rPr>
              <w:t>Batch- and presentation-level stratification; immunogenicity testing; device complaint reconciliation</w:t>
            </w:r>
          </w:p>
        </w:tc>
        <w:tc>
          <w:tcPr>
            <w:tcW w:type="dxa" w:w="1123"/>
          </w:tcPr>
          <w:p>
            <w:pPr>
              <w:spacing w:before="20" w:after="20" w:line="254" w:lineRule="auto"/>
            </w:pPr>
          </w:p>
        </w:tc>
      </w:tr>
    </w:tbl>
    <w:p>
      <w:pPr>
        <w:spacing w:after="40"/>
      </w:pPr>
    </w:p>
    <w:p>
      <w:pPr>
        <w:pStyle w:val="Heading1"/>
      </w:pPr>
      <w:r>
        <w:t>Part C — Setting-specific supplements</w:t>
      </w:r>
    </w:p>
    <w:p>
      <w:pPr>
        <w:pStyle w:val="Heading2"/>
      </w:pPr>
      <w:r>
        <w:t>C.1 Vaccines</w:t>
      </w:r>
    </w:p>
    <w:tbl>
      <w:tblPr>
        <w:tblStyle w:val="ToolkitTable"/>
        <w:tblW w:type="auto" w:w="0"/>
        <w:jc w:val="left"/>
        <w:tblLayout w:type="fixed"/>
        <w:tblLook w:val="04A0" w:firstRow="1" w:lastRow="0" w:firstColumn="0" w:lastColumn="0" w:noHBand="0" w:noVBand="1"/>
      </w:tblPr>
      <w:tblGrid>
        <w:gridCol w:w="2059"/>
        <w:gridCol w:w="3744"/>
        <w:gridCol w:w="3557"/>
      </w:tblGrid>
      <w:tr>
        <w:trPr>
          <w:tblHeader/>
        </w:trPr>
        <w:tc>
          <w:tcPr>
            <w:tcW w:type="dxa" w:w="2059"/>
          </w:tcPr>
          <w:p>
            <w:pPr>
              <w:spacing w:before="20" w:after="20" w:line="254" w:lineRule="auto"/>
            </w:pPr>
            <w:r>
              <w:rPr>
                <w:rFonts w:ascii="Carlito" w:hAnsi="Carlito"/>
                <w:b/>
                <w:i w:val="0"/>
                <w:color w:val="FFFFFF"/>
                <w:sz w:val="19"/>
              </w:rPr>
              <w:t>Field</w:t>
            </w:r>
          </w:p>
        </w:tc>
        <w:tc>
          <w:tcPr>
            <w:tcW w:type="dxa" w:w="3744"/>
          </w:tcPr>
          <w:p>
            <w:pPr>
              <w:spacing w:before="20" w:after="20" w:line="254" w:lineRule="auto"/>
            </w:pPr>
            <w:r>
              <w:rPr>
                <w:rFonts w:ascii="Carlito" w:hAnsi="Carlito"/>
                <w:b/>
                <w:i w:val="0"/>
                <w:color w:val="FFFFFF"/>
                <w:sz w:val="19"/>
              </w:rPr>
              <w:t>What to record — and what a good entry looks like</w:t>
            </w:r>
          </w:p>
        </w:tc>
        <w:tc>
          <w:tcPr>
            <w:tcW w:type="dxa" w:w="3557"/>
          </w:tcPr>
          <w:p>
            <w:pPr>
              <w:spacing w:before="20" w:after="20" w:line="254" w:lineRule="auto"/>
            </w:pPr>
            <w:r>
              <w:rPr>
                <w:rFonts w:ascii="Carlito" w:hAnsi="Carlito"/>
                <w:b/>
                <w:i w:val="0"/>
                <w:color w:val="FFFFFF"/>
                <w:sz w:val="19"/>
              </w:rPr>
              <w:t>Your entry</w:t>
            </w:r>
          </w:p>
        </w:tc>
      </w:tr>
      <w:tr>
        <w:tc>
          <w:tcPr>
            <w:tcW w:type="dxa" w:w="2059"/>
          </w:tcPr>
          <w:p>
            <w:pPr>
              <w:spacing w:before="20" w:after="20" w:line="254" w:lineRule="auto"/>
            </w:pPr>
            <w:r>
              <w:rPr>
                <w:rFonts w:ascii="Carlito" w:hAnsi="Carlito"/>
                <w:b w:val="0"/>
                <w:i w:val="0"/>
                <w:sz w:val="19"/>
              </w:rPr>
              <w:t>Risk interval and its biological basis</w:t>
            </w:r>
          </w:p>
        </w:tc>
        <w:tc>
          <w:tcPr>
            <w:tcW w:type="dxa" w:w="3744"/>
          </w:tcPr>
          <w:p>
            <w:pPr>
              <w:spacing w:before="20" w:after="20" w:line="254" w:lineRule="auto"/>
            </w:pPr>
            <w:r>
              <w:rPr>
                <w:rFonts w:ascii="Carlito" w:hAnsi="Carlito"/>
                <w:b w:val="0"/>
                <w:i w:val="0"/>
                <w:sz w:val="19"/>
              </w:rPr>
              <w:t>The interval, and why it follows from the hypothesized mechanism</w:t>
            </w:r>
          </w:p>
          <w:p>
            <w:pPr>
              <w:spacing w:before="20" w:after="20" w:line="254" w:lineRule="auto"/>
            </w:pPr>
            <w:r>
              <w:rPr>
                <w:rFonts w:ascii="Carlito" w:hAnsi="Carlito"/>
                <w:b w:val="0"/>
                <w:i/>
                <w:color w:val="4A5B63"/>
                <w:sz w:val="17"/>
              </w:rPr>
              <w:t>Specify in advance. An interval chosen after inspecting the data is a result, not a design.</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Doses by dose number and age band</w:t>
            </w:r>
          </w:p>
        </w:tc>
        <w:tc>
          <w:tcPr>
            <w:tcW w:type="dxa" w:w="3744"/>
          </w:tcPr>
          <w:p>
            <w:pPr>
              <w:spacing w:before="20" w:after="20" w:line="254" w:lineRule="auto"/>
            </w:pPr>
            <w:r>
              <w:rPr>
                <w:rFonts w:ascii="Carlito" w:hAnsi="Carlito"/>
                <w:b w:val="0"/>
                <w:i w:val="0"/>
                <w:sz w:val="19"/>
              </w:rPr>
              <w:t>Counts, with the source and extraction date</w:t>
            </w:r>
          </w:p>
          <w:p>
            <w:pPr>
              <w:spacing w:before="20" w:after="20" w:line="254" w:lineRule="auto"/>
            </w:pPr>
            <w:r>
              <w:rPr>
                <w:rFonts w:ascii="Carlito" w:hAnsi="Carlito"/>
                <w:b w:val="0"/>
                <w:i/>
                <w:color w:val="4A5B63"/>
                <w:sz w:val="17"/>
              </w:rPr>
              <w:t>The hypothesis for a second-dose immune-mediated event differs from that for a first-dose reaction.</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Graded case definition and counts by level</w:t>
            </w:r>
          </w:p>
        </w:tc>
        <w:tc>
          <w:tcPr>
            <w:tcW w:type="dxa" w:w="3744"/>
          </w:tcPr>
          <w:p>
            <w:pPr>
              <w:spacing w:before="20" w:after="20" w:line="254" w:lineRule="auto"/>
            </w:pPr>
            <w:r>
              <w:rPr>
                <w:rFonts w:ascii="Carlito" w:hAnsi="Carlito"/>
                <w:b w:val="0"/>
                <w:i w:val="0"/>
                <w:sz w:val="19"/>
              </w:rPr>
              <w:t>Definition used and n at each level</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Observed-to-expected analysis</w:t>
            </w:r>
          </w:p>
        </w:tc>
        <w:tc>
          <w:tcPr>
            <w:tcW w:type="dxa" w:w="3744"/>
          </w:tcPr>
          <w:p>
            <w:pPr>
              <w:spacing w:before="20" w:after="20" w:line="254" w:lineRule="auto"/>
            </w:pPr>
            <w:r>
              <w:rPr>
                <w:rFonts w:ascii="Carlito" w:hAnsi="Carlito"/>
                <w:b w:val="0"/>
                <w:i w:val="0"/>
                <w:sz w:val="19"/>
              </w:rPr>
              <w:t>Cross-reference the completed T-12 worksheet</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Stimulated-reporting assessment</w:t>
            </w:r>
          </w:p>
        </w:tc>
        <w:tc>
          <w:tcPr>
            <w:tcW w:type="dxa" w:w="3744"/>
          </w:tcPr>
          <w:p>
            <w:pPr>
              <w:spacing w:before="20" w:after="20" w:line="254" w:lineRule="auto"/>
            </w:pPr>
            <w:r>
              <w:rPr>
                <w:rFonts w:ascii="Carlito" w:hAnsi="Carlito"/>
                <w:b w:val="0"/>
                <w:i w:val="0"/>
                <w:sz w:val="19"/>
              </w:rPr>
              <w:t>Media and campaign timeline set beside the reporting-by-week curve</w:t>
            </w:r>
          </w:p>
        </w:tc>
        <w:tc>
          <w:tcPr>
            <w:tcW w:type="dxa" w:w="3557"/>
          </w:tcPr>
          <w:p>
            <w:pPr>
              <w:spacing w:before="20" w:after="20" w:line="254" w:lineRule="auto"/>
            </w:pPr>
          </w:p>
        </w:tc>
      </w:tr>
    </w:tbl>
    <w:p>
      <w:pPr>
        <w:spacing w:after="40"/>
      </w:pPr>
    </w:p>
    <w:p>
      <w:pPr>
        <w:pStyle w:val="Heading2"/>
      </w:pPr>
      <w:r>
        <w:t>C.2 Pregnancy</w:t>
      </w:r>
    </w:p>
    <w:tbl>
      <w:tblPr>
        <w:tblStyle w:val="ToolkitTable"/>
        <w:tblW w:type="auto" w:w="0"/>
        <w:jc w:val="left"/>
        <w:tblLayout w:type="fixed"/>
        <w:tblLook w:val="04A0" w:firstRow="1" w:lastRow="0" w:firstColumn="0" w:lastColumn="0" w:noHBand="0" w:noVBand="1"/>
      </w:tblPr>
      <w:tblGrid>
        <w:gridCol w:w="2059"/>
        <w:gridCol w:w="3744"/>
        <w:gridCol w:w="3557"/>
      </w:tblGrid>
      <w:tr>
        <w:trPr>
          <w:tblHeader/>
        </w:trPr>
        <w:tc>
          <w:tcPr>
            <w:tcW w:type="dxa" w:w="2059"/>
          </w:tcPr>
          <w:p>
            <w:pPr>
              <w:spacing w:before="20" w:after="20" w:line="254" w:lineRule="auto"/>
            </w:pPr>
            <w:r>
              <w:rPr>
                <w:rFonts w:ascii="Carlito" w:hAnsi="Carlito"/>
                <w:b/>
                <w:i w:val="0"/>
                <w:color w:val="FFFFFF"/>
                <w:sz w:val="19"/>
              </w:rPr>
              <w:t>Field</w:t>
            </w:r>
          </w:p>
        </w:tc>
        <w:tc>
          <w:tcPr>
            <w:tcW w:type="dxa" w:w="3744"/>
          </w:tcPr>
          <w:p>
            <w:pPr>
              <w:spacing w:before="20" w:after="20" w:line="254" w:lineRule="auto"/>
            </w:pPr>
            <w:r>
              <w:rPr>
                <w:rFonts w:ascii="Carlito" w:hAnsi="Carlito"/>
                <w:b/>
                <w:i w:val="0"/>
                <w:color w:val="FFFFFF"/>
                <w:sz w:val="19"/>
              </w:rPr>
              <w:t>What to record — and what a good entry looks like</w:t>
            </w:r>
          </w:p>
        </w:tc>
        <w:tc>
          <w:tcPr>
            <w:tcW w:type="dxa" w:w="3557"/>
          </w:tcPr>
          <w:p>
            <w:pPr>
              <w:spacing w:before="20" w:after="20" w:line="254" w:lineRule="auto"/>
            </w:pPr>
            <w:r>
              <w:rPr>
                <w:rFonts w:ascii="Carlito" w:hAnsi="Carlito"/>
                <w:b/>
                <w:i w:val="0"/>
                <w:color w:val="FFFFFF"/>
                <w:sz w:val="19"/>
              </w:rPr>
              <w:t>Your entry</w:t>
            </w:r>
          </w:p>
        </w:tc>
      </w:tr>
      <w:tr>
        <w:tc>
          <w:tcPr>
            <w:tcW w:type="dxa" w:w="2059"/>
          </w:tcPr>
          <w:p>
            <w:pPr>
              <w:spacing w:before="20" w:after="20" w:line="254" w:lineRule="auto"/>
            </w:pPr>
            <w:r>
              <w:rPr>
                <w:rFonts w:ascii="Carlito" w:hAnsi="Carlito"/>
                <w:b w:val="0"/>
                <w:i w:val="0"/>
                <w:sz w:val="19"/>
              </w:rPr>
              <w:t>Which of the three questions is being asked?</w:t>
            </w:r>
          </w:p>
        </w:tc>
        <w:tc>
          <w:tcPr>
            <w:tcW w:type="dxa" w:w="3744"/>
          </w:tcPr>
          <w:p>
            <w:pPr>
              <w:spacing w:before="20" w:after="20" w:line="254" w:lineRule="auto"/>
            </w:pPr>
            <w:r>
              <w:rPr>
                <w:rFonts w:ascii="Carlito" w:hAnsi="Carlito"/>
                <w:b w:val="0"/>
                <w:i w:val="0"/>
                <w:sz w:val="19"/>
              </w:rPr>
              <w:t>Congenital anomalies, pregnancy complications, or neonatal outcomes — one at a time</w:t>
            </w:r>
          </w:p>
          <w:p>
            <w:pPr>
              <w:spacing w:before="20" w:after="20" w:line="254" w:lineRule="auto"/>
            </w:pPr>
            <w:r>
              <w:rPr>
                <w:rFonts w:ascii="Carlito" w:hAnsi="Carlito"/>
                <w:b w:val="0"/>
                <w:i/>
                <w:color w:val="4A5B63"/>
                <w:sz w:val="17"/>
              </w:rPr>
              <w:t>A registry that reports them together obscures all three.</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Gestational week at exposure</w:t>
            </w:r>
          </w:p>
        </w:tc>
        <w:tc>
          <w:tcPr>
            <w:tcW w:type="dxa" w:w="3744"/>
          </w:tcPr>
          <w:p>
            <w:pPr>
              <w:spacing w:before="20" w:after="20" w:line="254" w:lineRule="auto"/>
            </w:pPr>
            <w:r>
              <w:rPr>
                <w:rFonts w:ascii="Carlito" w:hAnsi="Carlito"/>
                <w:b w:val="0"/>
                <w:i w:val="0"/>
                <w:sz w:val="19"/>
              </w:rPr>
              <w:t>Recorded, and the anomaly-specific critical period it is being tested against</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Prospective and retrospective cases kept separate</w:t>
            </w:r>
          </w:p>
        </w:tc>
        <w:tc>
          <w:tcPr>
            <w:tcW w:type="dxa" w:w="3744"/>
          </w:tcPr>
          <w:p>
            <w:pPr>
              <w:spacing w:before="20" w:after="20" w:line="254" w:lineRule="auto"/>
            </w:pPr>
            <w:r>
              <w:rPr>
                <w:rFonts w:ascii="Carlito" w:hAnsi="Carlito"/>
                <w:b w:val="0"/>
                <w:i w:val="0"/>
                <w:sz w:val="19"/>
              </w:rPr>
              <w:t>Counts of each, never pooled</w:t>
            </w:r>
          </w:p>
          <w:p>
            <w:pPr>
              <w:spacing w:before="20" w:after="20" w:line="254" w:lineRule="auto"/>
            </w:pPr>
            <w:r>
              <w:rPr>
                <w:rFonts w:ascii="Carlito" w:hAnsi="Carlito"/>
                <w:b w:val="0"/>
                <w:i/>
                <w:color w:val="4A5B63"/>
                <w:sz w:val="17"/>
              </w:rPr>
              <w:t>Retrospective reports are enriched for adverse outcomes because that is why they were submitted.</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Outcome disposition</w:t>
            </w:r>
          </w:p>
        </w:tc>
        <w:tc>
          <w:tcPr>
            <w:tcW w:type="dxa" w:w="3744"/>
          </w:tcPr>
          <w:p>
            <w:pPr>
              <w:spacing w:before="20" w:after="20" w:line="254" w:lineRule="auto"/>
            </w:pPr>
            <w:r>
              <w:rPr>
                <w:rFonts w:ascii="Carlito" w:hAnsi="Carlito"/>
                <w:b w:val="0"/>
                <w:i w:val="0"/>
                <w:sz w:val="19"/>
              </w:rPr>
              <w:t>Live births, spontaneous abortions, elective terminations (and how many for prenatally diagnosed anomaly), stillbirths, lost to follow-up</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Comparator</w:t>
            </w:r>
          </w:p>
        </w:tc>
        <w:tc>
          <w:tcPr>
            <w:tcW w:type="dxa" w:w="3744"/>
          </w:tcPr>
          <w:p>
            <w:pPr>
              <w:spacing w:before="20" w:after="20" w:line="254" w:lineRule="auto"/>
            </w:pPr>
            <w:r>
              <w:rPr>
                <w:rFonts w:ascii="Carlito" w:hAnsi="Carlito"/>
                <w:b w:val="0"/>
                <w:i w:val="0"/>
                <w:sz w:val="19"/>
              </w:rPr>
              <w:t>Disease-matched comparator, or the explicit statement that none exists and what that means</w:t>
            </w:r>
          </w:p>
          <w:p>
            <w:pPr>
              <w:spacing w:before="20" w:after="20" w:line="254" w:lineRule="auto"/>
            </w:pPr>
            <w:r>
              <w:rPr>
                <w:rFonts w:ascii="Carlito" w:hAnsi="Carlito"/>
                <w:b w:val="0"/>
                <w:i/>
                <w:color w:val="4A5B63"/>
                <w:sz w:val="17"/>
              </w:rPr>
              <w:t>The disease itself is often associated with adverse pregnancy outcomes.</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Interpretation discipline</w:t>
            </w:r>
          </w:p>
        </w:tc>
        <w:tc>
          <w:tcPr>
            <w:tcW w:type="dxa" w:w="3744"/>
          </w:tcPr>
          <w:p>
            <w:pPr>
              <w:spacing w:before="20" w:after="20" w:line="254" w:lineRule="auto"/>
            </w:pPr>
            <w:r>
              <w:rPr>
                <w:rFonts w:ascii="Carlito" w:hAnsi="Carlito"/>
                <w:b w:val="0"/>
                <w:i w:val="0"/>
                <w:sz w:val="19"/>
              </w:rPr>
              <w:t>State what the numbers are too imprecise to show, in both directions</w:t>
            </w:r>
          </w:p>
          <w:p>
            <w:pPr>
              <w:spacing w:before="20" w:after="20" w:line="254" w:lineRule="auto"/>
            </w:pPr>
            <w:r>
              <w:rPr>
                <w:rFonts w:ascii="Carlito" w:hAnsi="Carlito"/>
                <w:b w:val="0"/>
                <w:i/>
                <w:color w:val="4A5B63"/>
                <w:sz w:val="17"/>
              </w:rPr>
              <w:t>Neither false reassurance nor alarm. Four cardiac defects against 2.4 expected is a contrast a handful of pregnancies would move either way.</w:t>
            </w:r>
          </w:p>
        </w:tc>
        <w:tc>
          <w:tcPr>
            <w:tcW w:type="dxa" w:w="3557"/>
          </w:tcPr>
          <w:p>
            <w:pPr>
              <w:spacing w:before="20" w:after="20" w:line="254" w:lineRule="auto"/>
            </w:pPr>
          </w:p>
        </w:tc>
      </w:tr>
    </w:tbl>
    <w:p>
      <w:pPr>
        <w:spacing w:after="40"/>
      </w:pPr>
    </w:p>
    <w:p>
      <w:pPr>
        <w:pStyle w:val="Heading2"/>
      </w:pPr>
      <w:r>
        <w:t>C.3 Oncology and rare disease</w:t>
      </w:r>
    </w:p>
    <w:tbl>
      <w:tblPr>
        <w:tblStyle w:val="ToolkitTable"/>
        <w:tblW w:type="auto" w:w="0"/>
        <w:jc w:val="left"/>
        <w:tblLayout w:type="fixed"/>
        <w:tblLook w:val="04A0" w:firstRow="1" w:lastRow="0" w:firstColumn="0" w:lastColumn="0" w:noHBand="0" w:noVBand="1"/>
      </w:tblPr>
      <w:tblGrid>
        <w:gridCol w:w="2059"/>
        <w:gridCol w:w="3744"/>
        <w:gridCol w:w="3557"/>
      </w:tblGrid>
      <w:tr>
        <w:trPr>
          <w:tblHeader/>
        </w:trPr>
        <w:tc>
          <w:tcPr>
            <w:tcW w:type="dxa" w:w="2059"/>
          </w:tcPr>
          <w:p>
            <w:pPr>
              <w:spacing w:before="20" w:after="20" w:line="254" w:lineRule="auto"/>
            </w:pPr>
            <w:r>
              <w:rPr>
                <w:rFonts w:ascii="Carlito" w:hAnsi="Carlito"/>
                <w:b/>
                <w:i w:val="0"/>
                <w:color w:val="FFFFFF"/>
                <w:sz w:val="19"/>
              </w:rPr>
              <w:t>Field</w:t>
            </w:r>
          </w:p>
        </w:tc>
        <w:tc>
          <w:tcPr>
            <w:tcW w:type="dxa" w:w="3744"/>
          </w:tcPr>
          <w:p>
            <w:pPr>
              <w:spacing w:before="20" w:after="20" w:line="254" w:lineRule="auto"/>
            </w:pPr>
            <w:r>
              <w:rPr>
                <w:rFonts w:ascii="Carlito" w:hAnsi="Carlito"/>
                <w:b/>
                <w:i w:val="0"/>
                <w:color w:val="FFFFFF"/>
                <w:sz w:val="19"/>
              </w:rPr>
              <w:t>What to record — and what a good entry looks like</w:t>
            </w:r>
          </w:p>
        </w:tc>
        <w:tc>
          <w:tcPr>
            <w:tcW w:type="dxa" w:w="3557"/>
          </w:tcPr>
          <w:p>
            <w:pPr>
              <w:spacing w:before="20" w:after="20" w:line="254" w:lineRule="auto"/>
            </w:pPr>
            <w:r>
              <w:rPr>
                <w:rFonts w:ascii="Carlito" w:hAnsi="Carlito"/>
                <w:b/>
                <w:i w:val="0"/>
                <w:color w:val="FFFFFF"/>
                <w:sz w:val="19"/>
              </w:rPr>
              <w:t>Your entry</w:t>
            </w:r>
          </w:p>
        </w:tc>
      </w:tr>
      <w:tr>
        <w:tc>
          <w:tcPr>
            <w:tcW w:type="dxa" w:w="2059"/>
          </w:tcPr>
          <w:p>
            <w:pPr>
              <w:spacing w:before="20" w:after="20" w:line="254" w:lineRule="auto"/>
            </w:pPr>
            <w:r>
              <w:rPr>
                <w:rFonts w:ascii="Carlito" w:hAnsi="Carlito"/>
                <w:b w:val="0"/>
                <w:i w:val="0"/>
                <w:sz w:val="19"/>
              </w:rPr>
              <w:t>Background event rate in the untreated disease</w:t>
            </w:r>
          </w:p>
        </w:tc>
        <w:tc>
          <w:tcPr>
            <w:tcW w:type="dxa" w:w="3744"/>
          </w:tcPr>
          <w:p>
            <w:pPr>
              <w:spacing w:before="20" w:after="20" w:line="254" w:lineRule="auto"/>
            </w:pPr>
            <w:r>
              <w:rPr>
                <w:rFonts w:ascii="Carlito" w:hAnsi="Carlito"/>
                <w:b w:val="0"/>
                <w:i w:val="0"/>
                <w:sz w:val="19"/>
              </w:rPr>
              <w:t>The published rate and its source</w:t>
            </w:r>
          </w:p>
          <w:p>
            <w:pPr>
              <w:spacing w:before="20" w:after="20" w:line="254" w:lineRule="auto"/>
            </w:pPr>
            <w:r>
              <w:rPr>
                <w:rFonts w:ascii="Carlito" w:hAnsi="Carlito"/>
                <w:b w:val="0"/>
                <w:i/>
                <w:color w:val="4A5B63"/>
                <w:sz w:val="17"/>
              </w:rPr>
              <w:t>Where the background is high, a spontaneous series cannot resolve a drug effect. Say so rather than analyzing it anyway.</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Source carrying the inference</w:t>
            </w:r>
          </w:p>
        </w:tc>
        <w:tc>
          <w:tcPr>
            <w:tcW w:type="dxa" w:w="3744"/>
          </w:tcPr>
          <w:p>
            <w:pPr>
              <w:spacing w:before="20" w:after="20" w:line="254" w:lineRule="auto"/>
            </w:pPr>
            <w:r>
              <w:rPr>
                <w:rFonts w:ascii="Carlito" w:hAnsi="Carlito"/>
                <w:b w:val="0"/>
                <w:i w:val="0"/>
                <w:sz w:val="19"/>
              </w:rPr>
              <w:t>Which source actually answers the question, and why the others do not</w:t>
            </w:r>
          </w:p>
          <w:p>
            <w:pPr>
              <w:spacing w:before="20" w:after="20" w:line="254" w:lineRule="auto"/>
            </w:pPr>
            <w:r>
              <w:rPr>
                <w:rFonts w:ascii="Carlito" w:hAnsi="Carlito"/>
                <w:b w:val="0"/>
                <w:i/>
                <w:color w:val="4A5B63"/>
                <w:sz w:val="17"/>
              </w:rPr>
              <w:t>Usually the randomized comparison with a concurrent control on the same disease and the same background therapy.</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Regimen and line of therapy</w:t>
            </w:r>
          </w:p>
        </w:tc>
        <w:tc>
          <w:tcPr>
            <w:tcW w:type="dxa" w:w="3744"/>
          </w:tcPr>
          <w:p>
            <w:pPr>
              <w:spacing w:before="20" w:after="20" w:line="254" w:lineRule="auto"/>
            </w:pPr>
            <w:r>
              <w:rPr>
                <w:rFonts w:ascii="Carlito" w:hAnsi="Carlito"/>
                <w:b w:val="0"/>
                <w:i w:val="0"/>
                <w:sz w:val="19"/>
              </w:rPr>
              <w:t>Components, sequence, and whether attribution to a single agent is possible</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Disease-specific risk score distribution</w:t>
            </w:r>
          </w:p>
        </w:tc>
        <w:tc>
          <w:tcPr>
            <w:tcW w:type="dxa" w:w="3744"/>
          </w:tcPr>
          <w:p>
            <w:pPr>
              <w:spacing w:before="20" w:after="20" w:line="254" w:lineRule="auto"/>
            </w:pPr>
            <w:r>
              <w:rPr>
                <w:rFonts w:ascii="Carlito" w:hAnsi="Carlito"/>
                <w:b w:val="0"/>
                <w:i w:val="0"/>
                <w:sz w:val="19"/>
              </w:rPr>
              <w:t>In the reported cases and in the trial population, compared</w:t>
            </w:r>
          </w:p>
        </w:tc>
        <w:tc>
          <w:tcPr>
            <w:tcW w:type="dxa" w:w="3557"/>
          </w:tcPr>
          <w:p>
            <w:pPr>
              <w:spacing w:before="20" w:after="20" w:line="254" w:lineRule="auto"/>
            </w:pPr>
          </w:p>
        </w:tc>
      </w:tr>
    </w:tbl>
    <w:p>
      <w:pPr>
        <w:spacing w:after="40"/>
      </w:pPr>
    </w:p>
    <w:p>
      <w:pPr>
        <w:pStyle w:val="Heading2"/>
      </w:pPr>
      <w:r>
        <w:t>C.4 Medication errors and misuse</w:t>
      </w:r>
    </w:p>
    <w:tbl>
      <w:tblPr>
        <w:tblStyle w:val="ToolkitTable"/>
        <w:tblW w:type="auto" w:w="0"/>
        <w:jc w:val="left"/>
        <w:tblLayout w:type="fixed"/>
        <w:tblLook w:val="04A0" w:firstRow="1" w:lastRow="0" w:firstColumn="0" w:lastColumn="0" w:noHBand="0" w:noVBand="1"/>
      </w:tblPr>
      <w:tblGrid>
        <w:gridCol w:w="2059"/>
        <w:gridCol w:w="3744"/>
        <w:gridCol w:w="3557"/>
      </w:tblGrid>
      <w:tr>
        <w:trPr>
          <w:tblHeader/>
        </w:trPr>
        <w:tc>
          <w:tcPr>
            <w:tcW w:type="dxa" w:w="2059"/>
          </w:tcPr>
          <w:p>
            <w:pPr>
              <w:spacing w:before="20" w:after="20" w:line="254" w:lineRule="auto"/>
            </w:pPr>
            <w:r>
              <w:rPr>
                <w:rFonts w:ascii="Carlito" w:hAnsi="Carlito"/>
                <w:b/>
                <w:i w:val="0"/>
                <w:color w:val="FFFFFF"/>
                <w:sz w:val="19"/>
              </w:rPr>
              <w:t>Field</w:t>
            </w:r>
          </w:p>
        </w:tc>
        <w:tc>
          <w:tcPr>
            <w:tcW w:type="dxa" w:w="3744"/>
          </w:tcPr>
          <w:p>
            <w:pPr>
              <w:spacing w:before="20" w:after="20" w:line="254" w:lineRule="auto"/>
            </w:pPr>
            <w:r>
              <w:rPr>
                <w:rFonts w:ascii="Carlito" w:hAnsi="Carlito"/>
                <w:b/>
                <w:i w:val="0"/>
                <w:color w:val="FFFFFF"/>
                <w:sz w:val="19"/>
              </w:rPr>
              <w:t>What to record — and what a good entry looks like</w:t>
            </w:r>
          </w:p>
        </w:tc>
        <w:tc>
          <w:tcPr>
            <w:tcW w:type="dxa" w:w="3557"/>
          </w:tcPr>
          <w:p>
            <w:pPr>
              <w:spacing w:before="20" w:after="20" w:line="254" w:lineRule="auto"/>
            </w:pPr>
            <w:r>
              <w:rPr>
                <w:rFonts w:ascii="Carlito" w:hAnsi="Carlito"/>
                <w:b/>
                <w:i w:val="0"/>
                <w:color w:val="FFFFFF"/>
                <w:sz w:val="19"/>
              </w:rPr>
              <w:t>Your entry</w:t>
            </w:r>
          </w:p>
        </w:tc>
      </w:tr>
      <w:tr>
        <w:tc>
          <w:tcPr>
            <w:tcW w:type="dxa" w:w="2059"/>
          </w:tcPr>
          <w:p>
            <w:pPr>
              <w:spacing w:before="20" w:after="20" w:line="254" w:lineRule="auto"/>
            </w:pPr>
            <w:r>
              <w:rPr>
                <w:rFonts w:ascii="Carlito" w:hAnsi="Carlito"/>
                <w:b w:val="0"/>
                <w:i w:val="0"/>
                <w:sz w:val="19"/>
              </w:rPr>
              <w:t>Analytic unit</w:t>
            </w:r>
          </w:p>
        </w:tc>
        <w:tc>
          <w:tcPr>
            <w:tcW w:type="dxa" w:w="3744"/>
          </w:tcPr>
          <w:p>
            <w:pPr>
              <w:spacing w:before="20" w:after="20" w:line="254" w:lineRule="auto"/>
            </w:pPr>
            <w:r>
              <w:rPr>
                <w:rFonts w:ascii="Carlito" w:hAnsi="Carlito"/>
                <w:b w:val="0"/>
                <w:i w:val="0"/>
                <w:sz w:val="19"/>
              </w:rPr>
              <w:t>Presentation, lot or device component — not the active substance</w:t>
            </w:r>
          </w:p>
          <w:p>
            <w:pPr>
              <w:spacing w:before="20" w:after="20" w:line="254" w:lineRule="auto"/>
            </w:pPr>
            <w:r>
              <w:rPr>
                <w:rFonts w:ascii="Carlito" w:hAnsi="Carlito"/>
                <w:b w:val="0"/>
                <w:i/>
                <w:color w:val="4A5B63"/>
                <w:sz w:val="17"/>
              </w:rPr>
              <w:t>No amount of disproportionality analysis on the moiety will locate a defect in a dose-selector detent.</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Error type and stage coded</w:t>
            </w:r>
          </w:p>
        </w:tc>
        <w:tc>
          <w:tcPr>
            <w:tcW w:type="dxa" w:w="3744"/>
          </w:tcPr>
          <w:p>
            <w:pPr>
              <w:spacing w:before="20" w:after="20" w:line="254" w:lineRule="auto"/>
            </w:pPr>
            <w:r>
              <w:rPr>
                <w:rFonts w:ascii="Carlito" w:hAnsi="Carlito"/>
                <w:b w:val="0"/>
                <w:i w:val="0"/>
                <w:sz w:val="19"/>
              </w:rPr>
              <w:t>Prescribing, dispensing, preparation, administration; and the error type</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Period-over-period comparison</w:t>
            </w:r>
          </w:p>
        </w:tc>
        <w:tc>
          <w:tcPr>
            <w:tcW w:type="dxa" w:w="3744"/>
          </w:tcPr>
          <w:p>
            <w:pPr>
              <w:spacing w:before="20" w:after="20" w:line="254" w:lineRule="auto"/>
            </w:pPr>
            <w:r>
              <w:rPr>
                <w:rFonts w:ascii="Carlito" w:hAnsi="Carlito"/>
                <w:b w:val="0"/>
                <w:i w:val="0"/>
                <w:sz w:val="19"/>
              </w:rPr>
              <w:t>Counts in the current and preceding periods, with the exposure denominator for each</w:t>
            </w:r>
          </w:p>
          <w:p>
            <w:pPr>
              <w:spacing w:before="20" w:after="20" w:line="254" w:lineRule="auto"/>
            </w:pPr>
            <w:r>
              <w:rPr>
                <w:rFonts w:ascii="Carlito" w:hAnsi="Carlito"/>
                <w:b w:val="0"/>
                <w:i/>
                <w:color w:val="4A5B63"/>
                <w:sz w:val="17"/>
              </w:rPr>
              <w:t>Report errors per 100,000 units dispensed, not counts alone.</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Change-point identified</w:t>
            </w:r>
          </w:p>
        </w:tc>
        <w:tc>
          <w:tcPr>
            <w:tcW w:type="dxa" w:w="3744"/>
          </w:tcPr>
          <w:p>
            <w:pPr>
              <w:spacing w:before="20" w:after="20" w:line="254" w:lineRule="auto"/>
            </w:pPr>
            <w:r>
              <w:rPr>
                <w:rFonts w:ascii="Carlito" w:hAnsi="Carlito"/>
                <w:b w:val="0"/>
                <w:i w:val="0"/>
                <w:sz w:val="19"/>
              </w:rPr>
              <w:t>Any supplier, packaging, device or labeling change, with its date</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Lot and geography linkage</w:t>
            </w:r>
          </w:p>
        </w:tc>
        <w:tc>
          <w:tcPr>
            <w:tcW w:type="dxa" w:w="3744"/>
          </w:tcPr>
          <w:p>
            <w:pPr>
              <w:spacing w:before="20" w:after="20" w:line="254" w:lineRule="auto"/>
            </w:pPr>
            <w:r>
              <w:rPr>
                <w:rFonts w:ascii="Carlito" w:hAnsi="Carlito"/>
                <w:b w:val="0"/>
                <w:i w:val="0"/>
                <w:sz w:val="19"/>
              </w:rPr>
              <w:t>How many reports link to affected lots, and how many are confirmed at lot level</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Is this a labeling question at all?</w:t>
            </w:r>
          </w:p>
        </w:tc>
        <w:tc>
          <w:tcPr>
            <w:tcW w:type="dxa" w:w="3744"/>
          </w:tcPr>
          <w:p>
            <w:pPr>
              <w:spacing w:before="20" w:after="20" w:line="254" w:lineRule="auto"/>
            </w:pPr>
            <w:r>
              <w:rPr>
                <w:rFonts w:ascii="Carlito" w:hAnsi="Carlito"/>
                <w:b w:val="0"/>
                <w:i w:val="0"/>
                <w:sz w:val="19"/>
              </w:rPr>
              <w:t>State explicitly whether the events are the expected pharmacology of a wrong dose</w:t>
            </w:r>
          </w:p>
          <w:p>
            <w:pPr>
              <w:spacing w:before="20" w:after="20" w:line="254" w:lineRule="auto"/>
            </w:pPr>
            <w:r>
              <w:rPr>
                <w:rFonts w:ascii="Carlito" w:hAnsi="Carlito"/>
                <w:b w:val="0"/>
                <w:i/>
                <w:color w:val="4A5B63"/>
                <w:sz w:val="17"/>
              </w:rPr>
              <w:t>If they are, the action is a device or packaging correction and a CAPA, not a pharmacologic labeling change.</w:t>
            </w:r>
          </w:p>
        </w:tc>
        <w:tc>
          <w:tcPr>
            <w:tcW w:type="dxa" w:w="3557"/>
          </w:tcPr>
          <w:p>
            <w:pPr>
              <w:spacing w:before="20" w:after="20" w:line="254" w:lineRule="auto"/>
            </w:pPr>
          </w:p>
        </w:tc>
      </w:tr>
    </w:tbl>
    <w:p>
      <w:pPr>
        <w:spacing w:after="40"/>
      </w:pPr>
    </w:p>
    <w:p>
      <w:pPr>
        <w:pStyle w:val="Heading2"/>
      </w:pPr>
      <w:r>
        <w:t>C.5 Biologics and combination products</w:t>
      </w:r>
    </w:p>
    <w:tbl>
      <w:tblPr>
        <w:tblStyle w:val="ToolkitTable"/>
        <w:tblW w:type="auto" w:w="0"/>
        <w:jc w:val="left"/>
        <w:tblLayout w:type="fixed"/>
        <w:tblLook w:val="04A0" w:firstRow="1" w:lastRow="0" w:firstColumn="0" w:lastColumn="0" w:noHBand="0" w:noVBand="1"/>
      </w:tblPr>
      <w:tblGrid>
        <w:gridCol w:w="2059"/>
        <w:gridCol w:w="3744"/>
        <w:gridCol w:w="3557"/>
      </w:tblGrid>
      <w:tr>
        <w:trPr>
          <w:tblHeader/>
        </w:trPr>
        <w:tc>
          <w:tcPr>
            <w:tcW w:type="dxa" w:w="2059"/>
          </w:tcPr>
          <w:p>
            <w:pPr>
              <w:spacing w:before="20" w:after="20" w:line="254" w:lineRule="auto"/>
            </w:pPr>
            <w:r>
              <w:rPr>
                <w:rFonts w:ascii="Carlito" w:hAnsi="Carlito"/>
                <w:b/>
                <w:i w:val="0"/>
                <w:color w:val="FFFFFF"/>
                <w:sz w:val="19"/>
              </w:rPr>
              <w:t>Field</w:t>
            </w:r>
          </w:p>
        </w:tc>
        <w:tc>
          <w:tcPr>
            <w:tcW w:type="dxa" w:w="3744"/>
          </w:tcPr>
          <w:p>
            <w:pPr>
              <w:spacing w:before="20" w:after="20" w:line="254" w:lineRule="auto"/>
            </w:pPr>
            <w:r>
              <w:rPr>
                <w:rFonts w:ascii="Carlito" w:hAnsi="Carlito"/>
                <w:b/>
                <w:i w:val="0"/>
                <w:color w:val="FFFFFF"/>
                <w:sz w:val="19"/>
              </w:rPr>
              <w:t>What to record — and what a good entry looks like</w:t>
            </w:r>
          </w:p>
        </w:tc>
        <w:tc>
          <w:tcPr>
            <w:tcW w:type="dxa" w:w="3557"/>
          </w:tcPr>
          <w:p>
            <w:pPr>
              <w:spacing w:before="20" w:after="20" w:line="254" w:lineRule="auto"/>
            </w:pPr>
            <w:r>
              <w:rPr>
                <w:rFonts w:ascii="Carlito" w:hAnsi="Carlito"/>
                <w:b/>
                <w:i w:val="0"/>
                <w:color w:val="FFFFFF"/>
                <w:sz w:val="19"/>
              </w:rPr>
              <w:t>Your entry</w:t>
            </w:r>
          </w:p>
        </w:tc>
      </w:tr>
      <w:tr>
        <w:tc>
          <w:tcPr>
            <w:tcW w:type="dxa" w:w="2059"/>
          </w:tcPr>
          <w:p>
            <w:pPr>
              <w:spacing w:before="20" w:after="20" w:line="254" w:lineRule="auto"/>
            </w:pPr>
            <w:r>
              <w:rPr>
                <w:rFonts w:ascii="Carlito" w:hAnsi="Carlito"/>
                <w:b w:val="0"/>
                <w:i w:val="0"/>
                <w:sz w:val="19"/>
              </w:rPr>
              <w:t>Suspect entity</w:t>
            </w:r>
          </w:p>
        </w:tc>
        <w:tc>
          <w:tcPr>
            <w:tcW w:type="dxa" w:w="3744"/>
          </w:tcPr>
          <w:p>
            <w:pPr>
              <w:spacing w:before="20" w:after="20" w:line="254" w:lineRule="auto"/>
            </w:pPr>
            <w:r>
              <w:rPr>
                <w:rFonts w:ascii="Carlito" w:hAnsi="Carlito"/>
                <w:b w:val="0"/>
                <w:i w:val="0"/>
                <w:sz w:val="19"/>
              </w:rPr>
              <w:t>Molecule, formulation, excipient, container closure, process, presentation, or batch</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Brand and batch identity preserved</w:t>
            </w:r>
          </w:p>
        </w:tc>
        <w:tc>
          <w:tcPr>
            <w:tcW w:type="dxa" w:w="3744"/>
          </w:tcPr>
          <w:p>
            <w:pPr>
              <w:spacing w:before="20" w:after="20" w:line="254" w:lineRule="auto"/>
            </w:pPr>
            <w:r>
              <w:rPr>
                <w:rFonts w:ascii="Carlito" w:hAnsi="Carlito"/>
                <w:b w:val="0"/>
                <w:i w:val="0"/>
                <w:sz w:val="19"/>
              </w:rPr>
              <w:t>Confirmation that both survived every analytic step</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Immunogenicity hypothesis</w:t>
            </w:r>
          </w:p>
        </w:tc>
        <w:tc>
          <w:tcPr>
            <w:tcW w:type="dxa" w:w="3744"/>
          </w:tcPr>
          <w:p>
            <w:pPr>
              <w:spacing w:before="20" w:after="20" w:line="254" w:lineRule="auto"/>
            </w:pPr>
            <w:r>
              <w:rPr>
                <w:rFonts w:ascii="Carlito" w:hAnsi="Carlito"/>
                <w:b w:val="0"/>
                <w:i w:val="0"/>
                <w:sz w:val="19"/>
              </w:rPr>
              <w:t>Whether loss-of-efficacy and hypersensitivity reports are two presentations of one question</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Device and use factors</w:t>
            </w:r>
          </w:p>
        </w:tc>
        <w:tc>
          <w:tcPr>
            <w:tcW w:type="dxa" w:w="3744"/>
          </w:tcPr>
          <w:p>
            <w:pPr>
              <w:spacing w:before="20" w:after="20" w:line="254" w:lineRule="auto"/>
            </w:pPr>
            <w:r>
              <w:rPr>
                <w:rFonts w:ascii="Carlito" w:hAnsi="Carlito"/>
                <w:b w:val="0"/>
                <w:i w:val="0"/>
                <w:sz w:val="19"/>
              </w:rPr>
              <w:t>Route, injection technique, needle length, connector design, reconstitution steps, hold times</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Cold-chain and distribution</w:t>
            </w:r>
          </w:p>
        </w:tc>
        <w:tc>
          <w:tcPr>
            <w:tcW w:type="dxa" w:w="3744"/>
          </w:tcPr>
          <w:p>
            <w:pPr>
              <w:spacing w:before="20" w:after="20" w:line="254" w:lineRule="auto"/>
            </w:pPr>
            <w:r>
              <w:rPr>
                <w:rFonts w:ascii="Carlito" w:hAnsi="Carlito"/>
                <w:b w:val="0"/>
                <w:i w:val="0"/>
                <w:sz w:val="19"/>
              </w:rPr>
              <w:t>Excursions recorded, and their geography set beside the reporting geography</w:t>
            </w:r>
          </w:p>
          <w:p>
            <w:pPr>
              <w:spacing w:before="20" w:after="20" w:line="254" w:lineRule="auto"/>
            </w:pPr>
            <w:r>
              <w:rPr>
                <w:rFonts w:ascii="Carlito" w:hAnsi="Carlito"/>
                <w:b w:val="0"/>
                <w:i/>
                <w:color w:val="4A5B63"/>
                <w:sz w:val="17"/>
              </w:rPr>
              <w:t>A cold-chain failure and a genuine quality defect produce similar reporting patterns and are separated by lot and geography, not by MedDRA.</w:t>
            </w:r>
          </w:p>
        </w:tc>
        <w:tc>
          <w:tcPr>
            <w:tcW w:type="dxa" w:w="3557"/>
          </w:tcPr>
          <w:p>
            <w:pPr>
              <w:spacing w:before="20" w:after="20" w:line="254" w:lineRule="auto"/>
            </w:pPr>
          </w:p>
        </w:tc>
      </w:tr>
    </w:tbl>
    <w:p>
      <w:pPr>
        <w:spacing w:after="40"/>
      </w:pPr>
    </w:p>
    <w:p>
      <w:pPr>
        <w:pStyle w:val="Heading1"/>
      </w:pPr>
      <w:r>
        <w:t>Part D — Conclusion</w:t>
      </w:r>
    </w:p>
    <w:tbl>
      <w:tblPr>
        <w:tblStyle w:val="ToolkitTable"/>
        <w:tblW w:type="auto" w:w="0"/>
        <w:jc w:val="left"/>
        <w:tblLayout w:type="fixed"/>
        <w:tblLook w:val="04A0" w:firstRow="1" w:lastRow="0" w:firstColumn="0" w:lastColumn="0" w:noHBand="0" w:noVBand="1"/>
      </w:tblPr>
      <w:tblGrid>
        <w:gridCol w:w="2059"/>
        <w:gridCol w:w="3744"/>
        <w:gridCol w:w="3557"/>
      </w:tblGrid>
      <w:tr>
        <w:trPr>
          <w:tblHeader/>
        </w:trPr>
        <w:tc>
          <w:tcPr>
            <w:tcW w:type="dxa" w:w="2059"/>
          </w:tcPr>
          <w:p>
            <w:pPr>
              <w:spacing w:before="20" w:after="20" w:line="254" w:lineRule="auto"/>
            </w:pPr>
            <w:r>
              <w:rPr>
                <w:rFonts w:ascii="Carlito" w:hAnsi="Carlito"/>
                <w:b/>
                <w:i w:val="0"/>
                <w:color w:val="FFFFFF"/>
                <w:sz w:val="19"/>
              </w:rPr>
              <w:t>Field</w:t>
            </w:r>
          </w:p>
        </w:tc>
        <w:tc>
          <w:tcPr>
            <w:tcW w:type="dxa" w:w="3744"/>
          </w:tcPr>
          <w:p>
            <w:pPr>
              <w:spacing w:before="20" w:after="20" w:line="254" w:lineRule="auto"/>
            </w:pPr>
            <w:r>
              <w:rPr>
                <w:rFonts w:ascii="Carlito" w:hAnsi="Carlito"/>
                <w:b/>
                <w:i w:val="0"/>
                <w:color w:val="FFFFFF"/>
                <w:sz w:val="19"/>
              </w:rPr>
              <w:t>What to record — and what a good entry looks like</w:t>
            </w:r>
          </w:p>
        </w:tc>
        <w:tc>
          <w:tcPr>
            <w:tcW w:type="dxa" w:w="3557"/>
          </w:tcPr>
          <w:p>
            <w:pPr>
              <w:spacing w:before="20" w:after="20" w:line="254" w:lineRule="auto"/>
            </w:pPr>
            <w:r>
              <w:rPr>
                <w:rFonts w:ascii="Carlito" w:hAnsi="Carlito"/>
                <w:b/>
                <w:i w:val="0"/>
                <w:color w:val="FFFFFF"/>
                <w:sz w:val="19"/>
              </w:rPr>
              <w:t>Your entry</w:t>
            </w:r>
          </w:p>
        </w:tc>
      </w:tr>
      <w:tr>
        <w:tc>
          <w:tcPr>
            <w:tcW w:type="dxa" w:w="2059"/>
          </w:tcPr>
          <w:p>
            <w:pPr>
              <w:spacing w:before="20" w:after="20" w:line="254" w:lineRule="auto"/>
            </w:pPr>
            <w:r>
              <w:rPr>
                <w:rFonts w:ascii="Carlito" w:hAnsi="Carlito"/>
                <w:b w:val="0"/>
                <w:i w:val="0"/>
                <w:sz w:val="19"/>
              </w:rPr>
              <w:t>Items unanswered</w:t>
            </w:r>
          </w:p>
        </w:tc>
        <w:tc>
          <w:tcPr>
            <w:tcW w:type="dxa" w:w="3744"/>
          </w:tcPr>
          <w:p>
            <w:pPr>
              <w:spacing w:before="20" w:after="20" w:line="254" w:lineRule="auto"/>
            </w:pPr>
            <w:r>
              <w:rPr>
                <w:rFonts w:ascii="Carlito" w:hAnsi="Carlito"/>
                <w:b w:val="0"/>
                <w:i w:val="0"/>
                <w:sz w:val="19"/>
              </w:rPr>
              <w:t>List them. The estimate is not interpreted until they are closed or their absence is explicitly accepted with reasons</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What the analysis supports</w:t>
            </w:r>
          </w:p>
        </w:tc>
        <w:tc>
          <w:tcPr>
            <w:tcW w:type="dxa" w:w="3744"/>
          </w:tcPr>
          <w:p>
            <w:pPr>
              <w:spacing w:before="20" w:after="20" w:line="254" w:lineRule="auto"/>
            </w:pPr>
            <w:r>
              <w:rPr>
                <w:rFonts w:ascii="Carlito" w:hAnsi="Carlito"/>
                <w:b w:val="0"/>
                <w:i w:val="0"/>
                <w:sz w:val="19"/>
              </w:rPr>
              <w:t>In the vocabulary of the process step</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What it does not support</w:t>
            </w:r>
          </w:p>
        </w:tc>
        <w:tc>
          <w:tcPr>
            <w:tcW w:type="dxa" w:w="3744"/>
          </w:tcPr>
          <w:p>
            <w:pPr>
              <w:spacing w:before="20" w:after="20" w:line="254" w:lineRule="auto"/>
            </w:pPr>
            <w:r>
              <w:rPr>
                <w:rFonts w:ascii="Carlito" w:hAnsi="Carlito"/>
                <w:b w:val="0"/>
                <w:i w:val="0"/>
                <w:sz w:val="19"/>
              </w:rPr>
              <w:t>Including any causal or incidence claim the design cannot bear</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Assessor, reviewer, date</w:t>
            </w:r>
          </w:p>
        </w:tc>
        <w:tc>
          <w:tcPr>
            <w:tcW w:type="dxa" w:w="3744"/>
          </w:tcPr>
          <w:p>
            <w:pPr>
              <w:spacing w:before="20" w:after="20" w:line="254" w:lineRule="auto"/>
            </w:pPr>
            <w:r>
              <w:rPr>
                <w:rFonts w:ascii="Carlito" w:hAnsi="Carlito"/>
                <w:b w:val="0"/>
                <w:i w:val="0"/>
                <w:sz w:val="19"/>
              </w:rPr>
              <w:t>Names, roles, dates</w:t>
            </w:r>
          </w:p>
        </w:tc>
        <w:tc>
          <w:tcPr>
            <w:tcW w:type="dxa" w:w="3557"/>
          </w:tcPr>
          <w:p>
            <w:pPr>
              <w:spacing w:before="20" w:after="20" w:line="254" w:lineRule="auto"/>
            </w:pPr>
          </w:p>
        </w:tc>
      </w:tr>
    </w:tbl>
    <w:p>
      <w:pPr>
        <w:spacing w:after="40"/>
      </w:pPr>
    </w:p>
    <w:p>
      <w:pPr>
        <w:spacing w:before="40" w:after="160"/>
        <w:pBdr>
          <w:bottom w:val="single" w:sz="6" w:space="1" w:color="9FBAC0"/>
        </w:pBdr>
      </w:pPr>
    </w:p>
    <w:p>
      <w:r>
        <w:rPr>
          <w:rFonts w:ascii="Carlito" w:hAnsi="Carlito"/>
          <w:i/>
          <w:color w:val="4A5B63"/>
          <w:sz w:val="18"/>
        </w:rPr>
        <w:t>This template is educational. It does not replace applicable law, current regulatory guidance, medical judgment, or company procedures. Adapt it to your own procedures before use.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color w:val="4A5B63"/>
        <w:sz w:val="16"/>
      </w:rPr>
      <w:t>T-22 Special-Population Assessment Checklist · Signal Management in Pharmacovigilance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9" w:lineRule="auto"/>
    </w:pPr>
    <w:rPr>
      <w:rFonts w:ascii="Carlito" w:hAnsi="Carlito" w:cs="Carlito" w:eastAsia="Carlito"/>
      <w:color w:val="1E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keepNext/>
    </w:pPr>
    <w:rPr>
      <w:rFonts w:asciiTheme="majorHAnsi" w:eastAsiaTheme="majorEastAsia" w:hAnsiTheme="majorHAnsi" w:cstheme="majorBidi" w:ascii="Caladea" w:hAnsi="Caladea" w:cs="Caladea" w:eastAsia="Caladea"/>
      <w:b/>
      <w:bCs/>
      <w:color w:val="1F5661"/>
      <w:sz w:val="29"/>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keepNext/>
    </w:pPr>
    <w:rPr>
      <w:rFonts w:asciiTheme="majorHAnsi" w:eastAsiaTheme="majorEastAsia" w:hAnsiTheme="majorHAnsi" w:cstheme="majorBidi" w:ascii="Caladea" w:hAnsi="Caladea" w:cs="Caladea" w:eastAsia="Caladea"/>
      <w:b/>
      <w:bCs/>
      <w:color w:val="1F5661"/>
      <w:sz w:val="24"/>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keepNext/>
    </w:pPr>
    <w:rPr>
      <w:rFonts w:asciiTheme="majorHAnsi" w:eastAsiaTheme="majorEastAsia" w:hAnsiTheme="majorHAnsi" w:cstheme="majorBidi" w:ascii="Caladea" w:hAnsi="Caladea" w:cs="Caladea" w:eastAsia="Caladea"/>
      <w:b/>
      <w:bCs/>
      <w:color w:val="1F566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0"/>
      <w:contextualSpacing/>
    </w:pPr>
    <w:rPr>
      <w:rFonts w:asciiTheme="majorHAnsi" w:eastAsiaTheme="majorEastAsia" w:hAnsiTheme="majorHAnsi" w:cstheme="majorBidi" w:ascii="Caladea" w:hAnsi="Caladea" w:cs="Caladea" w:eastAsia="Caladea"/>
      <w:b/>
      <w:color w:val="1F566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basedOn w:val="Normal"/>
    <w:pPr>
      <w:spacing w:before="0" w:after="140"/>
    </w:pPr>
    <w:rPr>
      <w:rFonts w:ascii="Carlito" w:hAnsi="Carlito" w:cs="Carlito" w:eastAsia="Carlito"/>
      <w:i/>
      <w:color w:val="4A5B63"/>
      <w:sz w:val="19"/>
    </w:rPr>
  </w:style>
  <w:style w:type="paragraph" w:customStyle="1" w:styleId="SubtleNote">
    <w:name w:val="SubtleNote"/>
    <w:basedOn w:val="Normal"/>
    <w:pPr>
      <w:spacing w:before="0" w:after="100"/>
    </w:pPr>
    <w:rPr>
      <w:rFonts w:ascii="Carlito" w:hAnsi="Carlito" w:cs="Carlito" w:eastAsia="Carlito"/>
      <w:color w:val="4A5B63"/>
      <w:sz w:val="19"/>
    </w:rPr>
  </w:style>
  <w:style w:type="table" w:styleId="ToolkitTable">
    <w:name w:val="Toolkit Table"/>
    <w:basedOn w:val="TableNormal"/>
    <w:uiPriority w:val="59"/>
    <w:qFormat/>
    <w:rPr>
      <w:rFonts w:ascii="Carlito" w:hAnsi="Carlito" w:cs="Carlito"/>
      <w:color w:val="1E2A32"/>
      <w:sz w:val="19"/>
    </w:rPr>
    <w:tblPr>
      <w:tblStyleRowBandSize w:val="1"/>
      <w:tblBorders>
        <w:top w:val="single" w:sz="4" w:space="0" w:color="9FBAC0"/>
        <w:left w:val="single" w:sz="4" w:space="0" w:color="9FBAC0"/>
        <w:bottom w:val="single" w:sz="4" w:space="0" w:color="9FBAC0"/>
        <w:right w:val="single" w:sz="4" w:space="0" w:color="9FBAC0"/>
        <w:insideH w:val="single" w:sz="4" w:space="0" w:color="9FBAC0"/>
        <w:insideV w:val="single" w:sz="4" w:space="0" w:color="9FBAC0"/>
      </w:tblBorders>
      <w:tblCellMar>
        <w:top w:w="72" w:type="dxa"/>
        <w:left w:w="101" w:type="dxa"/>
        <w:bottom w:w="72" w:type="dxa"/>
        <w:right w:w="101" w:type="dxa"/>
      </w:tblCellMar>
    </w:tblPr>
    <w:tblStylePr w:type="firstRow">
      <w:pPr>
        <w:keepNext/>
        <w:spacing w:before="20" w:after="20"/>
      </w:pPr>
      <w:rPr>
        <w:rFonts w:ascii="Carlito" w:hAnsi="Carlito"/>
        <w:b/>
        <w:color w:val="FFFFFF"/>
      </w:rPr>
      <w:tcPr>
        <w:shd w:val="clear" w:color="auto" w:fill="1F5661"/>
      </w:tcPr>
    </w:tblStylePr>
    <w:tblStylePr w:type="band1Horz">
      <w:tcPr>
        <w:shd w:val="clear" w:color="auto" w:fill="E8EFE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