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T-23 — Signal Communication Checklist and Plain-Language Translation Exercise</w:t>
      </w:r>
    </w:p>
    <w:p>
      <w:pPr>
        <w:spacing w:after="20"/>
      </w:pPr>
      <w:r>
        <w:rPr>
          <w:rFonts w:ascii="Caladea" w:hAnsi="Caladea"/>
          <w:b/>
          <w:color w:val="1E2A32"/>
          <w:sz w:val="21"/>
        </w:rPr>
        <w:t>Signal Management in Pharmacovigilance</w:t>
      </w:r>
    </w:p>
    <w:p>
      <w:pPr>
        <w:spacing w:after="120"/>
      </w:pPr>
      <w:r>
        <w:rPr>
          <w:rFonts w:ascii="Carlito" w:hAnsi="Carlito"/>
          <w:color w:val="4A5B63"/>
          <w:sz w:val="19"/>
        </w:rPr>
        <w:t>Dr. Hafez Selim, MD, PhD  ·  Selim Medical Press</w:t>
      </w:r>
    </w:p>
    <w:p>
      <w:pPr>
        <w:spacing w:before="40" w:after="160"/>
        <w:pBdr>
          <w:bottom w:val="single" w:sz="12" w:space="1" w:color="1F5661"/>
        </w:pBdr>
      </w:pPr>
    </w:p>
    <w:p>
      <w:pPr>
        <w:spacing w:after="200"/>
      </w:pPr>
      <w:r>
        <w:rPr>
          <w:rFonts w:ascii="Carlito" w:hAnsi="Carlito"/>
          <w:b/>
          <w:color w:val="1F5661"/>
          <w:sz w:val="20"/>
        </w:rPr>
        <w:t xml:space="preserve">When to use this tool: </w:t>
      </w:r>
      <w:r>
        <w:rPr>
          <w:rFonts w:ascii="Carlito" w:hAnsi="Carlito"/>
          <w:color w:val="1E2A32"/>
          <w:sz w:val="20"/>
        </w:rPr>
        <w:t>Apply the checklist to a draft communication before it leaves the medical owner. Every “no” is either fixed or recorded with a reason for the file.</w:t>
      </w:r>
    </w:p>
    <w:p>
      <w:r>
        <w:t>The checklist is deliberately short enough to be used under time pressure, which is the only condition under which safety communications are ever drafted. Items 1, 5 and 7 fail most often and are worth checking twice: the association statement that has drifted during review, the action that names no reader, and the unaddressed possibility that the communication itself will cause patients to stop an effective treatment.</w:t>
      </w:r>
    </w:p>
    <w:p>
      <w:pPr>
        <w:pStyle w:val="SubtleNote"/>
      </w:pPr>
      <w:r>
        <w:t>The checklist is a company design rather than a regulatory requirement.</w:t>
      </w:r>
    </w:p>
    <w:p>
      <w:pPr>
        <w:pStyle w:val="Heading1"/>
      </w:pPr>
      <w:r>
        <w:t>Part A — Pre-release checklist</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Communication type</w:t>
            </w:r>
          </w:p>
        </w:tc>
        <w:tc>
          <w:tcPr>
            <w:tcW w:type="dxa" w:w="3744"/>
          </w:tcPr>
          <w:p>
            <w:pPr>
              <w:spacing w:before="20" w:after="20" w:line="254" w:lineRule="auto"/>
            </w:pPr>
            <w:r>
              <w:rPr>
                <w:rFonts w:ascii="Carlito" w:hAnsi="Carlito"/>
                <w:b w:val="0"/>
                <w:i w:val="0"/>
                <w:sz w:val="19"/>
              </w:rPr>
              <w:t>DHPC, patient leaflet update, website statement, press response, internal briefing, or other</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Audience</w:t>
            </w:r>
          </w:p>
        </w:tc>
        <w:tc>
          <w:tcPr>
            <w:tcW w:type="dxa" w:w="3744"/>
          </w:tcPr>
          <w:p>
            <w:pPr>
              <w:spacing w:before="20" w:after="20" w:line="254" w:lineRule="auto"/>
            </w:pPr>
            <w:r>
              <w:rPr>
                <w:rFonts w:ascii="Carlito" w:hAnsi="Carlito"/>
                <w:b w:val="0"/>
                <w:i w:val="0"/>
                <w:sz w:val="19"/>
              </w:rPr>
              <w:t>Prescribers, dispensers, patients, carers, media, or a named professional group</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Medical owner and date</w:t>
            </w:r>
          </w:p>
        </w:tc>
        <w:tc>
          <w:tcPr>
            <w:tcW w:type="dxa" w:w="3744"/>
          </w:tcPr>
          <w:p>
            <w:pPr>
              <w:spacing w:before="20" w:after="20" w:line="254" w:lineRule="auto"/>
            </w:pPr>
            <w:r>
              <w:rPr>
                <w:rFonts w:ascii="Carlito" w:hAnsi="Carlito"/>
                <w:b w:val="0"/>
                <w:i w:val="0"/>
                <w:sz w:val="19"/>
              </w:rPr>
              <w:t>Name, role, date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Source conclusion</w:t>
            </w:r>
          </w:p>
        </w:tc>
        <w:tc>
          <w:tcPr>
            <w:tcW w:type="dxa" w:w="3744"/>
          </w:tcPr>
          <w:p>
            <w:pPr>
              <w:spacing w:before="20" w:after="20" w:line="254" w:lineRule="auto"/>
            </w:pPr>
            <w:r>
              <w:rPr>
                <w:rFonts w:ascii="Carlito" w:hAnsi="Carlito"/>
                <w:b w:val="0"/>
                <w:i w:val="0"/>
                <w:sz w:val="19"/>
              </w:rPr>
              <w:t>The assessment report version and the conclusion as written there</w:t>
            </w:r>
          </w:p>
          <w:p>
            <w:pPr>
              <w:spacing w:before="20" w:after="20" w:line="254" w:lineRule="auto"/>
            </w:pPr>
            <w:r>
              <w:rPr>
                <w:rFonts w:ascii="Carlito" w:hAnsi="Carlito"/>
                <w:b w:val="0"/>
                <w:i/>
                <w:color w:val="4A5B63"/>
                <w:sz w:val="17"/>
              </w:rPr>
              <w:t>Quote it. The checklist's first item is a comparison against this, so it has to be here verbatim.</w:t>
            </w:r>
          </w:p>
        </w:tc>
        <w:tc>
          <w:tcPr>
            <w:tcW w:type="dxa" w:w="3557"/>
          </w:tcPr>
          <w:p>
            <w:pPr>
              <w:spacing w:before="20" w:after="20" w:line="254" w:lineRule="auto"/>
            </w:pPr>
          </w:p>
        </w:tc>
      </w:tr>
    </w:tbl>
    <w:p>
      <w:pPr>
        <w:spacing w:after="40"/>
      </w:pPr>
    </w:p>
    <w:tbl>
      <w:tblPr>
        <w:tblStyle w:val="ToolkitTable"/>
        <w:tblW w:type="auto" w:w="0"/>
        <w:jc w:val="left"/>
        <w:tblLayout w:type="fixed"/>
        <w:tblLook w:val="04A0" w:firstRow="1" w:lastRow="0" w:firstColumn="0" w:lastColumn="0" w:noHBand="0" w:noVBand="1"/>
      </w:tblPr>
      <w:tblGrid>
        <w:gridCol w:w="374"/>
        <w:gridCol w:w="1685"/>
        <w:gridCol w:w="4493"/>
        <w:gridCol w:w="749"/>
        <w:gridCol w:w="2059"/>
      </w:tblGrid>
      <w:tr>
        <w:trPr>
          <w:tblHeader/>
        </w:trPr>
        <w:tc>
          <w:tcPr>
            <w:tcW w:type="dxa" w:w="374"/>
          </w:tcPr>
          <w:p>
            <w:pPr>
              <w:spacing w:before="20" w:after="20" w:line="254" w:lineRule="auto"/>
            </w:pPr>
            <w:r>
              <w:rPr>
                <w:rFonts w:ascii="Carlito" w:hAnsi="Carlito"/>
                <w:b/>
                <w:i w:val="0"/>
                <w:color w:val="FFFFFF"/>
                <w:sz w:val="19"/>
              </w:rPr>
              <w:t>#</w:t>
            </w:r>
          </w:p>
        </w:tc>
        <w:tc>
          <w:tcPr>
            <w:tcW w:type="dxa" w:w="1685"/>
          </w:tcPr>
          <w:p>
            <w:pPr>
              <w:spacing w:before="20" w:after="20" w:line="254" w:lineRule="auto"/>
            </w:pPr>
            <w:r>
              <w:rPr>
                <w:rFonts w:ascii="Carlito" w:hAnsi="Carlito"/>
                <w:b/>
                <w:i w:val="0"/>
                <w:color w:val="FFFFFF"/>
                <w:sz w:val="19"/>
              </w:rPr>
              <w:t>Check</w:t>
            </w:r>
          </w:p>
        </w:tc>
        <w:tc>
          <w:tcPr>
            <w:tcW w:type="dxa" w:w="4493"/>
          </w:tcPr>
          <w:p>
            <w:pPr>
              <w:spacing w:before="20" w:after="20" w:line="254" w:lineRule="auto"/>
            </w:pPr>
            <w:r>
              <w:rPr>
                <w:rFonts w:ascii="Carlito" w:hAnsi="Carlito"/>
                <w:b/>
                <w:i w:val="0"/>
                <w:color w:val="FFFFFF"/>
                <w:sz w:val="19"/>
              </w:rPr>
              <w:t>Pass condition</w:t>
            </w:r>
          </w:p>
        </w:tc>
        <w:tc>
          <w:tcPr>
            <w:tcW w:type="dxa" w:w="749"/>
          </w:tcPr>
          <w:p>
            <w:pPr>
              <w:spacing w:before="20" w:after="20" w:line="254" w:lineRule="auto"/>
            </w:pPr>
            <w:r>
              <w:rPr>
                <w:rFonts w:ascii="Carlito" w:hAnsi="Carlito"/>
                <w:b/>
                <w:i w:val="0"/>
                <w:color w:val="FFFFFF"/>
                <w:sz w:val="19"/>
              </w:rPr>
              <w:t>Pass?</w:t>
            </w:r>
          </w:p>
        </w:tc>
        <w:tc>
          <w:tcPr>
            <w:tcW w:type="dxa" w:w="2059"/>
          </w:tcPr>
          <w:p>
            <w:pPr>
              <w:spacing w:before="20" w:after="20" w:line="254" w:lineRule="auto"/>
            </w:pPr>
            <w:r>
              <w:rPr>
                <w:rFonts w:ascii="Carlito" w:hAnsi="Carlito"/>
                <w:b/>
                <w:i w:val="0"/>
                <w:color w:val="FFFFFF"/>
                <w:sz w:val="19"/>
              </w:rPr>
              <w:t>If no: fix, or the reason recorded</w:t>
            </w:r>
          </w:p>
        </w:tc>
      </w:tr>
      <w:tr>
        <w:tc>
          <w:tcPr>
            <w:tcW w:type="dxa" w:w="374"/>
          </w:tcPr>
          <w:p>
            <w:pPr>
              <w:spacing w:before="20" w:after="20" w:line="254" w:lineRule="auto"/>
            </w:pPr>
            <w:r>
              <w:rPr>
                <w:rFonts w:ascii="Carlito" w:hAnsi="Carlito"/>
                <w:b w:val="0"/>
                <w:i w:val="0"/>
                <w:sz w:val="19"/>
              </w:rPr>
              <w:t>1</w:t>
            </w:r>
          </w:p>
        </w:tc>
        <w:tc>
          <w:tcPr>
            <w:tcW w:type="dxa" w:w="1685"/>
          </w:tcPr>
          <w:p>
            <w:pPr>
              <w:spacing w:before="20" w:after="20" w:line="254" w:lineRule="auto"/>
            </w:pPr>
            <w:r>
              <w:rPr>
                <w:rFonts w:ascii="Carlito" w:hAnsi="Carlito"/>
                <w:b w:val="0"/>
                <w:i w:val="0"/>
                <w:sz w:val="19"/>
              </w:rPr>
              <w:t>Association statement</w:t>
            </w:r>
          </w:p>
        </w:tc>
        <w:tc>
          <w:tcPr>
            <w:tcW w:type="dxa" w:w="4493"/>
          </w:tcPr>
          <w:p>
            <w:pPr>
              <w:spacing w:before="20" w:after="20" w:line="254" w:lineRule="auto"/>
            </w:pPr>
            <w:r>
              <w:rPr>
                <w:rFonts w:ascii="Carlito" w:hAnsi="Carlito"/>
                <w:b w:val="0"/>
                <w:i w:val="0"/>
                <w:sz w:val="19"/>
              </w:rPr>
              <w:t>States the level actually reached: under evaluation, supported, or established; no term implying proof</w:t>
            </w:r>
          </w:p>
          <w:p>
            <w:pPr>
              <w:spacing w:before="20" w:after="20" w:line="254" w:lineRule="auto"/>
            </w:pPr>
            <w:r>
              <w:rPr>
                <w:rFonts w:ascii="Carlito" w:hAnsi="Carlito"/>
                <w:b w:val="0"/>
                <w:i/>
                <w:color w:val="4A5B63"/>
                <w:sz w:val="17"/>
              </w:rPr>
              <w:t>Compare character by character against the source conclusion above. Drift happens during review, not during drafting.</w:t>
            </w:r>
          </w:p>
        </w:tc>
        <w:tc>
          <w:tcPr>
            <w:tcW w:type="dxa" w:w="749"/>
          </w:tcPr>
          <w:p>
            <w:pPr>
              <w:spacing w:before="20" w:after="20" w:line="254" w:lineRule="auto"/>
            </w:pPr>
          </w:p>
        </w:tc>
        <w:tc>
          <w:tcPr>
            <w:tcW w:type="dxa" w:w="2059"/>
          </w:tcPr>
          <w:p>
            <w:pPr>
              <w:spacing w:before="20" w:after="20" w:line="254" w:lineRule="auto"/>
            </w:pPr>
          </w:p>
        </w:tc>
      </w:tr>
      <w:tr>
        <w:tc>
          <w:tcPr>
            <w:tcW w:type="dxa" w:w="374"/>
          </w:tcPr>
          <w:p>
            <w:pPr>
              <w:spacing w:before="20" w:after="20" w:line="254" w:lineRule="auto"/>
            </w:pPr>
            <w:r>
              <w:rPr>
                <w:rFonts w:ascii="Carlito" w:hAnsi="Carlito"/>
                <w:b w:val="0"/>
                <w:i w:val="0"/>
                <w:sz w:val="19"/>
              </w:rPr>
              <w:t>2</w:t>
            </w:r>
          </w:p>
        </w:tc>
        <w:tc>
          <w:tcPr>
            <w:tcW w:type="dxa" w:w="1685"/>
          </w:tcPr>
          <w:p>
            <w:pPr>
              <w:spacing w:before="20" w:after="20" w:line="254" w:lineRule="auto"/>
            </w:pPr>
            <w:r>
              <w:rPr>
                <w:rFonts w:ascii="Carlito" w:hAnsi="Carlito"/>
                <w:b w:val="0"/>
                <w:i w:val="0"/>
                <w:sz w:val="19"/>
              </w:rPr>
              <w:t>Evidence basis</w:t>
            </w:r>
          </w:p>
        </w:tc>
        <w:tc>
          <w:tcPr>
            <w:tcW w:type="dxa" w:w="4493"/>
          </w:tcPr>
          <w:p>
            <w:pPr>
              <w:spacing w:before="20" w:after="20" w:line="254" w:lineRule="auto"/>
            </w:pPr>
            <w:r>
              <w:rPr>
                <w:rFonts w:ascii="Carlito" w:hAnsi="Carlito"/>
                <w:b w:val="0"/>
                <w:i w:val="0"/>
                <w:sz w:val="19"/>
              </w:rPr>
              <w:t>Sources and their size named in one or two sentences</w:t>
            </w:r>
          </w:p>
        </w:tc>
        <w:tc>
          <w:tcPr>
            <w:tcW w:type="dxa" w:w="749"/>
          </w:tcPr>
          <w:p>
            <w:pPr>
              <w:spacing w:before="20" w:after="20" w:line="254" w:lineRule="auto"/>
            </w:pPr>
          </w:p>
        </w:tc>
        <w:tc>
          <w:tcPr>
            <w:tcW w:type="dxa" w:w="2059"/>
          </w:tcPr>
          <w:p>
            <w:pPr>
              <w:spacing w:before="20" w:after="20" w:line="254" w:lineRule="auto"/>
            </w:pPr>
          </w:p>
        </w:tc>
      </w:tr>
      <w:tr>
        <w:tc>
          <w:tcPr>
            <w:tcW w:type="dxa" w:w="374"/>
          </w:tcPr>
          <w:p>
            <w:pPr>
              <w:spacing w:before="20" w:after="20" w:line="254" w:lineRule="auto"/>
            </w:pPr>
            <w:r>
              <w:rPr>
                <w:rFonts w:ascii="Carlito" w:hAnsi="Carlito"/>
                <w:b w:val="0"/>
                <w:i w:val="0"/>
                <w:sz w:val="19"/>
              </w:rPr>
              <w:t>3</w:t>
            </w:r>
          </w:p>
        </w:tc>
        <w:tc>
          <w:tcPr>
            <w:tcW w:type="dxa" w:w="1685"/>
          </w:tcPr>
          <w:p>
            <w:pPr>
              <w:spacing w:before="20" w:after="20" w:line="254" w:lineRule="auto"/>
            </w:pPr>
            <w:r>
              <w:rPr>
                <w:rFonts w:ascii="Carlito" w:hAnsi="Carlito"/>
                <w:b w:val="0"/>
                <w:i w:val="0"/>
                <w:sz w:val="19"/>
              </w:rPr>
              <w:t>Uncertainty</w:t>
            </w:r>
          </w:p>
        </w:tc>
        <w:tc>
          <w:tcPr>
            <w:tcW w:type="dxa" w:w="4493"/>
          </w:tcPr>
          <w:p>
            <w:pPr>
              <w:spacing w:before="20" w:after="20" w:line="254" w:lineRule="auto"/>
            </w:pPr>
            <w:r>
              <w:rPr>
                <w:rFonts w:ascii="Carlito" w:hAnsi="Carlito"/>
                <w:b w:val="0"/>
                <w:i w:val="0"/>
                <w:sz w:val="19"/>
              </w:rPr>
              <w:t>What is not known, why, and in both directions; no ritual disclaimer</w:t>
            </w:r>
          </w:p>
          <w:p>
            <w:pPr>
              <w:spacing w:before="20" w:after="20" w:line="254" w:lineRule="auto"/>
            </w:pPr>
            <w:r>
              <w:rPr>
                <w:rFonts w:ascii="Carlito" w:hAnsi="Carlito"/>
                <w:b w:val="0"/>
                <w:i/>
                <w:color w:val="4A5B63"/>
                <w:sz w:val="17"/>
              </w:rPr>
              <w:t>In both directions. A communication that lists only the reasons the risk might be smaller is not stating uncertainty.</w:t>
            </w:r>
          </w:p>
        </w:tc>
        <w:tc>
          <w:tcPr>
            <w:tcW w:type="dxa" w:w="749"/>
          </w:tcPr>
          <w:p>
            <w:pPr>
              <w:spacing w:before="20" w:after="20" w:line="254" w:lineRule="auto"/>
            </w:pPr>
          </w:p>
        </w:tc>
        <w:tc>
          <w:tcPr>
            <w:tcW w:type="dxa" w:w="2059"/>
          </w:tcPr>
          <w:p>
            <w:pPr>
              <w:spacing w:before="20" w:after="20" w:line="254" w:lineRule="auto"/>
            </w:pPr>
          </w:p>
        </w:tc>
      </w:tr>
      <w:tr>
        <w:tc>
          <w:tcPr>
            <w:tcW w:type="dxa" w:w="374"/>
          </w:tcPr>
          <w:p>
            <w:pPr>
              <w:spacing w:before="20" w:after="20" w:line="254" w:lineRule="auto"/>
            </w:pPr>
            <w:r>
              <w:rPr>
                <w:rFonts w:ascii="Carlito" w:hAnsi="Carlito"/>
                <w:b w:val="0"/>
                <w:i w:val="0"/>
                <w:sz w:val="19"/>
              </w:rPr>
              <w:t>4</w:t>
            </w:r>
          </w:p>
        </w:tc>
        <w:tc>
          <w:tcPr>
            <w:tcW w:type="dxa" w:w="1685"/>
          </w:tcPr>
          <w:p>
            <w:pPr>
              <w:spacing w:before="20" w:after="20" w:line="254" w:lineRule="auto"/>
            </w:pPr>
            <w:r>
              <w:rPr>
                <w:rFonts w:ascii="Carlito" w:hAnsi="Carlito"/>
                <w:b w:val="0"/>
                <w:i w:val="0"/>
                <w:sz w:val="19"/>
              </w:rPr>
              <w:t>Affected population</w:t>
            </w:r>
          </w:p>
        </w:tc>
        <w:tc>
          <w:tcPr>
            <w:tcW w:type="dxa" w:w="4493"/>
          </w:tcPr>
          <w:p>
            <w:pPr>
              <w:spacing w:before="20" w:after="20" w:line="254" w:lineRule="auto"/>
            </w:pPr>
            <w:r>
              <w:rPr>
                <w:rFonts w:ascii="Carlito" w:hAnsi="Carlito"/>
                <w:b w:val="0"/>
                <w:i w:val="0"/>
                <w:sz w:val="19"/>
              </w:rPr>
              <w:t>Defined so a reader can tell whether it includes their patient or themselves</w:t>
            </w:r>
          </w:p>
        </w:tc>
        <w:tc>
          <w:tcPr>
            <w:tcW w:type="dxa" w:w="749"/>
          </w:tcPr>
          <w:p>
            <w:pPr>
              <w:spacing w:before="20" w:after="20" w:line="254" w:lineRule="auto"/>
            </w:pPr>
          </w:p>
        </w:tc>
        <w:tc>
          <w:tcPr>
            <w:tcW w:type="dxa" w:w="2059"/>
          </w:tcPr>
          <w:p>
            <w:pPr>
              <w:spacing w:before="20" w:after="20" w:line="254" w:lineRule="auto"/>
            </w:pPr>
          </w:p>
        </w:tc>
      </w:tr>
      <w:tr>
        <w:tc>
          <w:tcPr>
            <w:tcW w:type="dxa" w:w="374"/>
          </w:tcPr>
          <w:p>
            <w:pPr>
              <w:spacing w:before="20" w:after="20" w:line="254" w:lineRule="auto"/>
            </w:pPr>
            <w:r>
              <w:rPr>
                <w:rFonts w:ascii="Carlito" w:hAnsi="Carlito"/>
                <w:b w:val="0"/>
                <w:i w:val="0"/>
                <w:sz w:val="19"/>
              </w:rPr>
              <w:t>5</w:t>
            </w:r>
          </w:p>
        </w:tc>
        <w:tc>
          <w:tcPr>
            <w:tcW w:type="dxa" w:w="1685"/>
          </w:tcPr>
          <w:p>
            <w:pPr>
              <w:spacing w:before="20" w:after="20" w:line="254" w:lineRule="auto"/>
            </w:pPr>
            <w:r>
              <w:rPr>
                <w:rFonts w:ascii="Carlito" w:hAnsi="Carlito"/>
                <w:b w:val="0"/>
                <w:i w:val="0"/>
                <w:sz w:val="19"/>
              </w:rPr>
              <w:t>Recommended action</w:t>
            </w:r>
          </w:p>
        </w:tc>
        <w:tc>
          <w:tcPr>
            <w:tcW w:type="dxa" w:w="4493"/>
          </w:tcPr>
          <w:p>
            <w:pPr>
              <w:spacing w:before="20" w:after="20" w:line="254" w:lineRule="auto"/>
            </w:pPr>
            <w:r>
              <w:rPr>
                <w:rFonts w:ascii="Carlito" w:hAnsi="Carlito"/>
                <w:b w:val="0"/>
                <w:i w:val="0"/>
                <w:sz w:val="19"/>
              </w:rPr>
              <w:t>Names the reader, the action, the patients, the timeframe, and what to do with the result</w:t>
            </w:r>
          </w:p>
          <w:p>
            <w:pPr>
              <w:spacing w:before="20" w:after="20" w:line="254" w:lineRule="auto"/>
            </w:pPr>
            <w:r>
              <w:rPr>
                <w:rFonts w:ascii="Carlito" w:hAnsi="Carlito"/>
                <w:b w:val="0"/>
                <w:i/>
                <w:color w:val="4A5B63"/>
                <w:sz w:val="17"/>
              </w:rPr>
              <w:t>Five elements. 'Monitor as clinically appropriate' has none of them.</w:t>
            </w:r>
          </w:p>
        </w:tc>
        <w:tc>
          <w:tcPr>
            <w:tcW w:type="dxa" w:w="749"/>
          </w:tcPr>
          <w:p>
            <w:pPr>
              <w:spacing w:before="20" w:after="20" w:line="254" w:lineRule="auto"/>
            </w:pPr>
          </w:p>
        </w:tc>
        <w:tc>
          <w:tcPr>
            <w:tcW w:type="dxa" w:w="2059"/>
          </w:tcPr>
          <w:p>
            <w:pPr>
              <w:spacing w:before="20" w:after="20" w:line="254" w:lineRule="auto"/>
            </w:pPr>
          </w:p>
        </w:tc>
      </w:tr>
      <w:tr>
        <w:tc>
          <w:tcPr>
            <w:tcW w:type="dxa" w:w="374"/>
          </w:tcPr>
          <w:p>
            <w:pPr>
              <w:spacing w:before="20" w:after="20" w:line="254" w:lineRule="auto"/>
            </w:pPr>
            <w:r>
              <w:rPr>
                <w:rFonts w:ascii="Carlito" w:hAnsi="Carlito"/>
                <w:b w:val="0"/>
                <w:i w:val="0"/>
                <w:sz w:val="19"/>
              </w:rPr>
              <w:t>6</w:t>
            </w:r>
          </w:p>
        </w:tc>
        <w:tc>
          <w:tcPr>
            <w:tcW w:type="dxa" w:w="1685"/>
          </w:tcPr>
          <w:p>
            <w:pPr>
              <w:spacing w:before="20" w:after="20" w:line="254" w:lineRule="auto"/>
            </w:pPr>
            <w:r>
              <w:rPr>
                <w:rFonts w:ascii="Carlito" w:hAnsi="Carlito"/>
                <w:b w:val="0"/>
                <w:i w:val="0"/>
                <w:sz w:val="19"/>
              </w:rPr>
              <w:t>Numbers</w:t>
            </w:r>
          </w:p>
        </w:tc>
        <w:tc>
          <w:tcPr>
            <w:tcW w:type="dxa" w:w="4493"/>
          </w:tcPr>
          <w:p>
            <w:pPr>
              <w:spacing w:before="20" w:after="20" w:line="254" w:lineRule="auto"/>
            </w:pPr>
            <w:r>
              <w:rPr>
                <w:rFonts w:ascii="Carlito" w:hAnsi="Carlito"/>
                <w:b w:val="0"/>
                <w:i w:val="0"/>
                <w:sz w:val="19"/>
              </w:rPr>
              <w:t>Absolute frequencies, one denominator throughout, background comparator in the same units, no reporting rates or disproportionality outputs</w:t>
            </w:r>
          </w:p>
          <w:p>
            <w:pPr>
              <w:spacing w:before="20" w:after="20" w:line="254" w:lineRule="auto"/>
            </w:pPr>
            <w:r>
              <w:rPr>
                <w:rFonts w:ascii="Carlito" w:hAnsi="Carlito"/>
                <w:b w:val="0"/>
                <w:i/>
                <w:color w:val="4A5B63"/>
                <w:sz w:val="17"/>
              </w:rPr>
              <w:t>One denominator throughout the document. Switching between per 1,000 and per 10,000 between paragraphs is how a communication loses a reader.</w:t>
            </w:r>
          </w:p>
        </w:tc>
        <w:tc>
          <w:tcPr>
            <w:tcW w:type="dxa" w:w="749"/>
          </w:tcPr>
          <w:p>
            <w:pPr>
              <w:spacing w:before="20" w:after="20" w:line="254" w:lineRule="auto"/>
            </w:pPr>
          </w:p>
        </w:tc>
        <w:tc>
          <w:tcPr>
            <w:tcW w:type="dxa" w:w="2059"/>
          </w:tcPr>
          <w:p>
            <w:pPr>
              <w:spacing w:before="20" w:after="20" w:line="254" w:lineRule="auto"/>
            </w:pPr>
          </w:p>
        </w:tc>
      </w:tr>
      <w:tr>
        <w:tc>
          <w:tcPr>
            <w:tcW w:type="dxa" w:w="374"/>
          </w:tcPr>
          <w:p>
            <w:pPr>
              <w:spacing w:before="20" w:after="20" w:line="254" w:lineRule="auto"/>
            </w:pPr>
            <w:r>
              <w:rPr>
                <w:rFonts w:ascii="Carlito" w:hAnsi="Carlito"/>
                <w:b w:val="0"/>
                <w:i w:val="0"/>
                <w:sz w:val="19"/>
              </w:rPr>
              <w:t>7</w:t>
            </w:r>
          </w:p>
        </w:tc>
        <w:tc>
          <w:tcPr>
            <w:tcW w:type="dxa" w:w="1685"/>
          </w:tcPr>
          <w:p>
            <w:pPr>
              <w:spacing w:before="20" w:after="20" w:line="254" w:lineRule="auto"/>
            </w:pPr>
            <w:r>
              <w:rPr>
                <w:rFonts w:ascii="Carlito" w:hAnsi="Carlito"/>
                <w:b w:val="0"/>
                <w:i w:val="0"/>
                <w:sz w:val="19"/>
              </w:rPr>
              <w:t>Anticipated harm</w:t>
            </w:r>
          </w:p>
        </w:tc>
        <w:tc>
          <w:tcPr>
            <w:tcW w:type="dxa" w:w="4493"/>
          </w:tcPr>
          <w:p>
            <w:pPr>
              <w:spacing w:before="20" w:after="20" w:line="254" w:lineRule="auto"/>
            </w:pPr>
            <w:r>
              <w:rPr>
                <w:rFonts w:ascii="Carlito" w:hAnsi="Carlito"/>
                <w:b w:val="0"/>
                <w:i w:val="0"/>
                <w:sz w:val="19"/>
              </w:rPr>
              <w:t>Names the harm the communication itself could cause, usually abrupt discontinuation, and addresses it</w:t>
            </w:r>
          </w:p>
          <w:p>
            <w:pPr>
              <w:spacing w:before="20" w:after="20" w:line="254" w:lineRule="auto"/>
            </w:pPr>
            <w:r>
              <w:rPr>
                <w:rFonts w:ascii="Carlito" w:hAnsi="Carlito"/>
                <w:b w:val="0"/>
                <w:i/>
                <w:color w:val="4A5B63"/>
                <w:sz w:val="17"/>
              </w:rPr>
              <w:t>Required. Say what patients should not do, and where they should go instead.</w:t>
            </w:r>
          </w:p>
        </w:tc>
        <w:tc>
          <w:tcPr>
            <w:tcW w:type="dxa" w:w="749"/>
          </w:tcPr>
          <w:p>
            <w:pPr>
              <w:spacing w:before="20" w:after="20" w:line="254" w:lineRule="auto"/>
            </w:pPr>
          </w:p>
        </w:tc>
        <w:tc>
          <w:tcPr>
            <w:tcW w:type="dxa" w:w="2059"/>
          </w:tcPr>
          <w:p>
            <w:pPr>
              <w:spacing w:before="20" w:after="20" w:line="254" w:lineRule="auto"/>
            </w:pPr>
          </w:p>
        </w:tc>
      </w:tr>
      <w:tr>
        <w:tc>
          <w:tcPr>
            <w:tcW w:type="dxa" w:w="374"/>
          </w:tcPr>
          <w:p>
            <w:pPr>
              <w:spacing w:before="20" w:after="20" w:line="254" w:lineRule="auto"/>
            </w:pPr>
            <w:r>
              <w:rPr>
                <w:rFonts w:ascii="Carlito" w:hAnsi="Carlito"/>
                <w:b w:val="0"/>
                <w:i w:val="0"/>
                <w:sz w:val="19"/>
              </w:rPr>
              <w:t>8</w:t>
            </w:r>
          </w:p>
        </w:tc>
        <w:tc>
          <w:tcPr>
            <w:tcW w:type="dxa" w:w="1685"/>
          </w:tcPr>
          <w:p>
            <w:pPr>
              <w:spacing w:before="20" w:after="20" w:line="254" w:lineRule="auto"/>
            </w:pPr>
            <w:r>
              <w:rPr>
                <w:rFonts w:ascii="Carlito" w:hAnsi="Carlito"/>
                <w:b w:val="0"/>
                <w:i w:val="0"/>
                <w:sz w:val="19"/>
              </w:rPr>
              <w:t>Reporting and updates</w:t>
            </w:r>
          </w:p>
        </w:tc>
        <w:tc>
          <w:tcPr>
            <w:tcW w:type="dxa" w:w="4493"/>
          </w:tcPr>
          <w:p>
            <w:pPr>
              <w:spacing w:before="20" w:after="20" w:line="254" w:lineRule="auto"/>
            </w:pPr>
            <w:r>
              <w:rPr>
                <w:rFonts w:ascii="Carlito" w:hAnsi="Carlito"/>
                <w:b w:val="0"/>
                <w:i w:val="0"/>
                <w:sz w:val="19"/>
              </w:rPr>
              <w:t>Reporting channel given; next update and its location stated</w:t>
            </w:r>
          </w:p>
        </w:tc>
        <w:tc>
          <w:tcPr>
            <w:tcW w:type="dxa" w:w="749"/>
          </w:tcPr>
          <w:p>
            <w:pPr>
              <w:spacing w:before="20" w:after="20" w:line="254" w:lineRule="auto"/>
            </w:pPr>
          </w:p>
        </w:tc>
        <w:tc>
          <w:tcPr>
            <w:tcW w:type="dxa" w:w="2059"/>
          </w:tcPr>
          <w:p>
            <w:pPr>
              <w:spacing w:before="20" w:after="20" w:line="254" w:lineRule="auto"/>
            </w:pPr>
          </w:p>
        </w:tc>
      </w:tr>
      <w:tr>
        <w:tc>
          <w:tcPr>
            <w:tcW w:type="dxa" w:w="374"/>
          </w:tcPr>
          <w:p>
            <w:pPr>
              <w:spacing w:before="20" w:after="20" w:line="254" w:lineRule="auto"/>
            </w:pPr>
            <w:r>
              <w:rPr>
                <w:rFonts w:ascii="Carlito" w:hAnsi="Carlito"/>
                <w:b w:val="0"/>
                <w:i w:val="0"/>
                <w:sz w:val="19"/>
              </w:rPr>
              <w:t>9</w:t>
            </w:r>
          </w:p>
        </w:tc>
        <w:tc>
          <w:tcPr>
            <w:tcW w:type="dxa" w:w="1685"/>
          </w:tcPr>
          <w:p>
            <w:pPr>
              <w:spacing w:before="20" w:after="20" w:line="254" w:lineRule="auto"/>
            </w:pPr>
            <w:r>
              <w:rPr>
                <w:rFonts w:ascii="Carlito" w:hAnsi="Carlito"/>
                <w:b w:val="0"/>
                <w:i w:val="0"/>
                <w:sz w:val="19"/>
              </w:rPr>
              <w:t>Consistency</w:t>
            </w:r>
          </w:p>
        </w:tc>
        <w:tc>
          <w:tcPr>
            <w:tcW w:type="dxa" w:w="4493"/>
          </w:tcPr>
          <w:p>
            <w:pPr>
              <w:spacing w:before="20" w:after="20" w:line="254" w:lineRule="auto"/>
            </w:pPr>
            <w:r>
              <w:rPr>
                <w:rFonts w:ascii="Carlito" w:hAnsi="Carlito"/>
                <w:b w:val="0"/>
                <w:i w:val="0"/>
                <w:sz w:val="19"/>
              </w:rPr>
              <w:t>Conclusion identical to the regulatory submission, the product information, and the patient material</w:t>
            </w:r>
          </w:p>
          <w:p>
            <w:pPr>
              <w:spacing w:before="20" w:after="20" w:line="254" w:lineRule="auto"/>
            </w:pPr>
            <w:r>
              <w:rPr>
                <w:rFonts w:ascii="Carlito" w:hAnsi="Carlito"/>
                <w:b w:val="0"/>
                <w:i/>
                <w:color w:val="4A5B63"/>
                <w:sz w:val="17"/>
              </w:rPr>
              <w:t>Cross-reference T-18.</w:t>
            </w:r>
          </w:p>
        </w:tc>
        <w:tc>
          <w:tcPr>
            <w:tcW w:type="dxa" w:w="749"/>
          </w:tcPr>
          <w:p>
            <w:pPr>
              <w:spacing w:before="20" w:after="20" w:line="254" w:lineRule="auto"/>
            </w:pPr>
          </w:p>
        </w:tc>
        <w:tc>
          <w:tcPr>
            <w:tcW w:type="dxa" w:w="2059"/>
          </w:tcPr>
          <w:p>
            <w:pPr>
              <w:spacing w:before="20" w:after="20" w:line="254" w:lineRule="auto"/>
            </w:pPr>
          </w:p>
        </w:tc>
      </w:tr>
      <w:tr>
        <w:tc>
          <w:tcPr>
            <w:tcW w:type="dxa" w:w="374"/>
          </w:tcPr>
          <w:p>
            <w:pPr>
              <w:spacing w:before="20" w:after="20" w:line="254" w:lineRule="auto"/>
            </w:pPr>
            <w:r>
              <w:rPr>
                <w:rFonts w:ascii="Carlito" w:hAnsi="Carlito"/>
                <w:b w:val="0"/>
                <w:i w:val="0"/>
                <w:sz w:val="19"/>
              </w:rPr>
              <w:t>10</w:t>
            </w:r>
          </w:p>
        </w:tc>
        <w:tc>
          <w:tcPr>
            <w:tcW w:type="dxa" w:w="1685"/>
          </w:tcPr>
          <w:p>
            <w:pPr>
              <w:spacing w:before="20" w:after="20" w:line="254" w:lineRule="auto"/>
            </w:pPr>
            <w:r>
              <w:rPr>
                <w:rFonts w:ascii="Carlito" w:hAnsi="Carlito"/>
                <w:b w:val="0"/>
                <w:i w:val="0"/>
                <w:sz w:val="19"/>
              </w:rPr>
              <w:t>Monitoring plan</w:t>
            </w:r>
          </w:p>
        </w:tc>
        <w:tc>
          <w:tcPr>
            <w:tcW w:type="dxa" w:w="4493"/>
          </w:tcPr>
          <w:p>
            <w:pPr>
              <w:spacing w:before="20" w:after="20" w:line="254" w:lineRule="auto"/>
            </w:pPr>
            <w:r>
              <w:rPr>
                <w:rFonts w:ascii="Carlito" w:hAnsi="Carlito"/>
                <w:b w:val="0"/>
                <w:i w:val="0"/>
                <w:sz w:val="19"/>
              </w:rPr>
              <w:t>Enquiries, media accuracy, dispensing and discontinuation, stimulated reporting; owner and review date named</w:t>
            </w:r>
          </w:p>
        </w:tc>
        <w:tc>
          <w:tcPr>
            <w:tcW w:type="dxa" w:w="749"/>
          </w:tcPr>
          <w:p>
            <w:pPr>
              <w:spacing w:before="20" w:after="20" w:line="254" w:lineRule="auto"/>
            </w:pPr>
          </w:p>
        </w:tc>
        <w:tc>
          <w:tcPr>
            <w:tcW w:type="dxa" w:w="2059"/>
          </w:tcPr>
          <w:p>
            <w:pPr>
              <w:spacing w:before="20" w:after="20" w:line="254" w:lineRule="auto"/>
            </w:pPr>
          </w:p>
        </w:tc>
      </w:tr>
    </w:tbl>
    <w:p>
      <w:pPr>
        <w:spacing w:after="40"/>
      </w:pPr>
    </w:p>
    <w:p>
      <w:pPr>
        <w:pStyle w:val="Heading1"/>
      </w:pPr>
      <w:r>
        <w:t>Part B — Plain-language translation exercise</w:t>
      </w:r>
    </w:p>
    <w:p>
      <w:r>
        <w:t>The exercise trains the skill the whole checklist assumes: the ability to say what an assessment concluded without either a technical term or a false certainty. The first row is worked. Complete the second, then run your own conclusions through the same conversion.</w:t>
      </w:r>
    </w:p>
    <w:tbl>
      <w:tblPr>
        <w:tblStyle w:val="ToolkitTable"/>
        <w:tblW w:type="auto" w:w="0"/>
        <w:jc w:val="left"/>
        <w:tblLayout w:type="fixed"/>
        <w:tblLook w:val="04A0" w:firstRow="1" w:lastRow="0" w:firstColumn="0" w:lastColumn="0" w:noHBand="0" w:noVBand="1"/>
      </w:tblPr>
      <w:tblGrid>
        <w:gridCol w:w="4680"/>
        <w:gridCol w:w="4680"/>
      </w:tblGrid>
      <w:tr>
        <w:trPr>
          <w:tblHeader/>
        </w:trPr>
        <w:tc>
          <w:tcPr>
            <w:tcW w:type="dxa" w:w="4680"/>
          </w:tcPr>
          <w:p>
            <w:pPr>
              <w:spacing w:before="20" w:after="20" w:line="254" w:lineRule="auto"/>
            </w:pPr>
            <w:r>
              <w:rPr>
                <w:rFonts w:ascii="Carlito" w:hAnsi="Carlito"/>
                <w:b/>
                <w:i w:val="0"/>
                <w:color w:val="FFFFFF"/>
                <w:sz w:val="19"/>
              </w:rPr>
              <w:t>Technical conclusion</w:t>
            </w:r>
          </w:p>
        </w:tc>
        <w:tc>
          <w:tcPr>
            <w:tcW w:type="dxa" w:w="4680"/>
          </w:tcPr>
          <w:p>
            <w:pPr>
              <w:spacing w:before="20" w:after="20" w:line="254" w:lineRule="auto"/>
            </w:pPr>
            <w:r>
              <w:rPr>
                <w:rFonts w:ascii="Carlito" w:hAnsi="Carlito"/>
                <w:b/>
                <w:i w:val="0"/>
                <w:color w:val="FFFFFF"/>
                <w:sz w:val="19"/>
              </w:rPr>
              <w:t>Plain-language version</w:t>
            </w:r>
          </w:p>
        </w:tc>
      </w:tr>
      <w:tr>
        <w:tc>
          <w:tcPr>
            <w:tcW w:type="dxa" w:w="4680"/>
          </w:tcPr>
          <w:p>
            <w:pPr>
              <w:spacing w:before="20" w:after="20" w:line="254" w:lineRule="auto"/>
            </w:pPr>
            <w:r>
              <w:rPr>
                <w:rFonts w:ascii="Carlito" w:hAnsi="Carlito"/>
                <w:b w:val="0"/>
                <w:i w:val="0"/>
                <w:sz w:val="19"/>
              </w:rPr>
              <w:t>“The cumulative review supports a causal association between Kalvenzo and severe hyperkalemia in patients with eGFR below 30 mL/min/1.73 m² receiving concomitant potassium-sparing therapy. The risk is preventable through renal function and potassium monitoring. A contraindication for the combination in this population is proposed.”</w:t>
            </w:r>
          </w:p>
        </w:tc>
        <w:tc>
          <w:tcPr>
            <w:tcW w:type="dxa" w:w="4680"/>
          </w:tcPr>
          <w:p>
            <w:pPr>
              <w:spacing w:before="20" w:after="20" w:line="254" w:lineRule="auto"/>
            </w:pPr>
            <w:r>
              <w:rPr>
                <w:rFonts w:ascii="Carlito" w:hAnsi="Carlito"/>
                <w:b w:val="0"/>
                <w:i w:val="0"/>
                <w:sz w:val="19"/>
              </w:rPr>
              <w:t>“Kalvenzo can raise blood potassium to dangerous levels in people whose kidneys are not working well, especially if they also take a water tablet of the potassium-sparing type. This combination should no longer be used in these patients. If you take Kalvenzo, your prescriber should check your kidney function and potassium before you start and again after one week. Do not stop Kalvenzo yourself; contact your prescriber to review your other medicines.”</w:t>
            </w:r>
          </w:p>
        </w:tc>
      </w:tr>
      <w:tr>
        <w:tc>
          <w:tcPr>
            <w:tcW w:type="dxa" w:w="4680"/>
          </w:tcPr>
          <w:p>
            <w:pPr>
              <w:spacing w:before="20" w:after="20" w:line="254" w:lineRule="auto"/>
            </w:pPr>
            <w:r>
              <w:rPr>
                <w:rFonts w:ascii="Carlito" w:hAnsi="Carlito"/>
                <w:b w:val="0"/>
                <w:i w:val="0"/>
                <w:sz w:val="19"/>
              </w:rPr>
              <w:t>“Assessment of 16 assessable cases of agranulocytosis with Velantor, including one positive inadvertent rechallenge and three fatal outcomes, supports an important identified risk with onset concentrated in the first six weeks. Routine blood count monitoring at baseline, weeks 2, 4, and 8, and quarterly thereafter is proposed, with defined discontinuation criteria.”</w:t>
            </w:r>
          </w:p>
        </w:tc>
        <w:tc>
          <w:tcPr>
            <w:tcW w:type="dxa" w:w="4680"/>
          </w:tcPr>
          <w:p>
            <w:pPr>
              <w:spacing w:before="20" w:after="20" w:line="254" w:lineRule="auto"/>
            </w:pPr>
          </w:p>
          <w:p>
            <w:pPr>
              <w:spacing w:before="20" w:after="20" w:line="254" w:lineRule="auto"/>
            </w:pPr>
            <w:r>
              <w:rPr>
                <w:rFonts w:ascii="Carlito" w:hAnsi="Carlito"/>
                <w:b w:val="0"/>
                <w:i/>
                <w:color w:val="4A5B63"/>
                <w:sz w:val="17"/>
              </w:rPr>
              <w:t>Reader to complete: write 80 to 120 words for a patient leaflet. State what can happen, when it is most likely, what monitoring the patient should expect, which symptoms require immediate medical attention, and what the patient should not do.</w:t>
            </w:r>
          </w:p>
        </w:tc>
      </w:tr>
      <w:tr>
        <w:tc>
          <w:tcPr>
            <w:tcW w:type="dxa" w:w="4680"/>
          </w:tcPr>
          <w:p>
            <w:pPr>
              <w:spacing w:before="20" w:after="20" w:line="254" w:lineRule="auto"/>
            </w:pPr>
          </w:p>
          <w:p>
            <w:pPr>
              <w:spacing w:before="20" w:after="20" w:line="254" w:lineRule="auto"/>
            </w:pPr>
            <w:r>
              <w:rPr>
                <w:rFonts w:ascii="Carlito" w:hAnsi="Carlito"/>
                <w:b w:val="0"/>
                <w:i/>
                <w:color w:val="4A5B63"/>
                <w:sz w:val="17"/>
              </w:rPr>
              <w:t>Your own technical conclusion.</w:t>
            </w:r>
          </w:p>
        </w:tc>
        <w:tc>
          <w:tcPr>
            <w:tcW w:type="dxa" w:w="4680"/>
          </w:tcPr>
          <w:p>
            <w:pPr>
              <w:spacing w:before="20" w:after="20" w:line="254" w:lineRule="auto"/>
            </w:pPr>
          </w:p>
        </w:tc>
      </w:tr>
      <w:tr>
        <w:tc>
          <w:tcPr>
            <w:tcW w:type="dxa" w:w="4680"/>
          </w:tcPr>
          <w:p>
            <w:pPr>
              <w:spacing w:before="20" w:after="20" w:line="254" w:lineRule="auto"/>
            </w:pPr>
          </w:p>
          <w:p>
            <w:pPr>
              <w:spacing w:before="20" w:after="20" w:line="254" w:lineRule="auto"/>
            </w:pPr>
            <w:r>
              <w:rPr>
                <w:rFonts w:ascii="Carlito" w:hAnsi="Carlito"/>
                <w:b w:val="0"/>
                <w:i/>
                <w:color w:val="4A5B63"/>
                <w:sz w:val="17"/>
              </w:rPr>
              <w:t>Your own technical conclusion.</w:t>
            </w:r>
          </w:p>
        </w:tc>
        <w:tc>
          <w:tcPr>
            <w:tcW w:type="dxa" w:w="4680"/>
          </w:tcPr>
          <w:p>
            <w:pPr>
              <w:spacing w:before="20" w:after="20" w:line="254" w:lineRule="auto"/>
            </w:pPr>
          </w:p>
        </w:tc>
      </w:tr>
    </w:tbl>
    <w:p>
      <w:pPr>
        <w:spacing w:after="40"/>
      </w:pPr>
    </w:p>
    <w:p>
      <w:pPr>
        <w:pStyle w:val="SubtleNote"/>
      </w:pPr>
      <w:r>
        <w:t>Kalvenzo (kalvenzapt) and Velantor are fictional products used throughout this book.</w:t>
      </w:r>
    </w:p>
    <w:p>
      <w:pPr>
        <w:pStyle w:val="Heading2"/>
      </w:pPr>
      <w:r>
        <w:t>Self-marking guide for the translation</w:t>
      </w:r>
    </w:p>
    <w:tbl>
      <w:tblPr>
        <w:tblStyle w:val="ToolkitTable"/>
        <w:tblW w:type="auto" w:w="0"/>
        <w:jc w:val="left"/>
        <w:tblLayout w:type="fixed"/>
        <w:tblLook w:val="04A0" w:firstRow="1" w:lastRow="0" w:firstColumn="0" w:lastColumn="0" w:noHBand="0" w:noVBand="1"/>
      </w:tblPr>
      <w:tblGrid>
        <w:gridCol w:w="468"/>
        <w:gridCol w:w="7769"/>
        <w:gridCol w:w="1123"/>
      </w:tblGrid>
      <w:tr>
        <w:trPr>
          <w:tblHeader/>
        </w:trPr>
        <w:tc>
          <w:tcPr>
            <w:tcW w:type="dxa" w:w="468"/>
          </w:tcPr>
          <w:p>
            <w:pPr>
              <w:spacing w:before="20" w:after="20" w:line="254" w:lineRule="auto"/>
            </w:pPr>
            <w:r>
              <w:rPr>
                <w:rFonts w:ascii="Carlito" w:hAnsi="Carlito"/>
                <w:b/>
                <w:i w:val="0"/>
                <w:color w:val="FFFFFF"/>
                <w:sz w:val="19"/>
              </w:rPr>
              <w:t>#</w:t>
            </w:r>
          </w:p>
        </w:tc>
        <w:tc>
          <w:tcPr>
            <w:tcW w:type="dxa" w:w="7769"/>
          </w:tcPr>
          <w:p>
            <w:pPr>
              <w:spacing w:before="20" w:after="20" w:line="254" w:lineRule="auto"/>
            </w:pPr>
            <w:r>
              <w:rPr>
                <w:rFonts w:ascii="Carlito" w:hAnsi="Carlito"/>
                <w:b/>
                <w:i w:val="0"/>
                <w:color w:val="FFFFFF"/>
                <w:sz w:val="19"/>
              </w:rPr>
              <w:t>Does your plain-language version…</w:t>
            </w:r>
          </w:p>
        </w:tc>
        <w:tc>
          <w:tcPr>
            <w:tcW w:type="dxa" w:w="1123"/>
          </w:tcPr>
          <w:p>
            <w:pPr>
              <w:spacing w:before="20" w:after="20" w:line="254" w:lineRule="auto"/>
            </w:pPr>
            <w:r>
              <w:rPr>
                <w:rFonts w:ascii="Carlito" w:hAnsi="Carlito"/>
                <w:b/>
                <w:i w:val="0"/>
                <w:color w:val="FFFFFF"/>
                <w:sz w:val="19"/>
              </w:rPr>
              <w:t>Yes/no</w:t>
            </w:r>
          </w:p>
        </w:tc>
      </w:tr>
      <w:tr>
        <w:tc>
          <w:tcPr>
            <w:tcW w:type="dxa" w:w="468"/>
          </w:tcPr>
          <w:p>
            <w:pPr>
              <w:spacing w:before="20" w:after="20" w:line="254" w:lineRule="auto"/>
            </w:pPr>
            <w:r>
              <w:rPr>
                <w:rFonts w:ascii="Carlito" w:hAnsi="Carlito"/>
                <w:b w:val="0"/>
                <w:i w:val="0"/>
                <w:sz w:val="19"/>
              </w:rPr>
              <w:t>1</w:t>
            </w:r>
          </w:p>
        </w:tc>
        <w:tc>
          <w:tcPr>
            <w:tcW w:type="dxa" w:w="7769"/>
          </w:tcPr>
          <w:p>
            <w:pPr>
              <w:spacing w:before="20" w:after="20" w:line="254" w:lineRule="auto"/>
            </w:pPr>
            <w:r>
              <w:rPr>
                <w:rFonts w:ascii="Carlito" w:hAnsi="Carlito"/>
                <w:b w:val="0"/>
                <w:i w:val="0"/>
                <w:sz w:val="19"/>
              </w:rPr>
              <w:t>Say what can happen, in words a reader would use?</w:t>
            </w:r>
          </w:p>
        </w:tc>
        <w:tc>
          <w:tcPr>
            <w:tcW w:type="dxa" w:w="1123"/>
          </w:tcPr>
          <w:p>
            <w:pPr>
              <w:spacing w:before="20" w:after="20" w:line="254" w:lineRule="auto"/>
            </w:pPr>
          </w:p>
        </w:tc>
      </w:tr>
      <w:tr>
        <w:tc>
          <w:tcPr>
            <w:tcW w:type="dxa" w:w="468"/>
          </w:tcPr>
          <w:p>
            <w:pPr>
              <w:spacing w:before="20" w:after="20" w:line="254" w:lineRule="auto"/>
            </w:pPr>
            <w:r>
              <w:rPr>
                <w:rFonts w:ascii="Carlito" w:hAnsi="Carlito"/>
                <w:b w:val="0"/>
                <w:i w:val="0"/>
                <w:sz w:val="19"/>
              </w:rPr>
              <w:t>2</w:t>
            </w:r>
          </w:p>
        </w:tc>
        <w:tc>
          <w:tcPr>
            <w:tcW w:type="dxa" w:w="7769"/>
          </w:tcPr>
          <w:p>
            <w:pPr>
              <w:spacing w:before="20" w:after="20" w:line="254" w:lineRule="auto"/>
            </w:pPr>
            <w:r>
              <w:rPr>
                <w:rFonts w:ascii="Carlito" w:hAnsi="Carlito"/>
                <w:b w:val="0"/>
                <w:i w:val="0"/>
                <w:sz w:val="19"/>
              </w:rPr>
              <w:t>Say when it is most likely, with an interval?</w:t>
            </w:r>
          </w:p>
        </w:tc>
        <w:tc>
          <w:tcPr>
            <w:tcW w:type="dxa" w:w="1123"/>
          </w:tcPr>
          <w:p>
            <w:pPr>
              <w:spacing w:before="20" w:after="20" w:line="254" w:lineRule="auto"/>
            </w:pPr>
          </w:p>
        </w:tc>
      </w:tr>
      <w:tr>
        <w:tc>
          <w:tcPr>
            <w:tcW w:type="dxa" w:w="468"/>
          </w:tcPr>
          <w:p>
            <w:pPr>
              <w:spacing w:before="20" w:after="20" w:line="254" w:lineRule="auto"/>
            </w:pPr>
            <w:r>
              <w:rPr>
                <w:rFonts w:ascii="Carlito" w:hAnsi="Carlito"/>
                <w:b w:val="0"/>
                <w:i w:val="0"/>
                <w:sz w:val="19"/>
              </w:rPr>
              <w:t>3</w:t>
            </w:r>
          </w:p>
        </w:tc>
        <w:tc>
          <w:tcPr>
            <w:tcW w:type="dxa" w:w="7769"/>
          </w:tcPr>
          <w:p>
            <w:pPr>
              <w:spacing w:before="20" w:after="20" w:line="254" w:lineRule="auto"/>
            </w:pPr>
            <w:r>
              <w:rPr>
                <w:rFonts w:ascii="Carlito" w:hAnsi="Carlito"/>
                <w:b w:val="0"/>
                <w:i w:val="0"/>
                <w:sz w:val="19"/>
              </w:rPr>
              <w:t>Say what monitoring the reader should expect, and when?</w:t>
            </w:r>
          </w:p>
        </w:tc>
        <w:tc>
          <w:tcPr>
            <w:tcW w:type="dxa" w:w="1123"/>
          </w:tcPr>
          <w:p>
            <w:pPr>
              <w:spacing w:before="20" w:after="20" w:line="254" w:lineRule="auto"/>
            </w:pPr>
          </w:p>
        </w:tc>
      </w:tr>
      <w:tr>
        <w:tc>
          <w:tcPr>
            <w:tcW w:type="dxa" w:w="468"/>
          </w:tcPr>
          <w:p>
            <w:pPr>
              <w:spacing w:before="20" w:after="20" w:line="254" w:lineRule="auto"/>
            </w:pPr>
            <w:r>
              <w:rPr>
                <w:rFonts w:ascii="Carlito" w:hAnsi="Carlito"/>
                <w:b w:val="0"/>
                <w:i w:val="0"/>
                <w:sz w:val="19"/>
              </w:rPr>
              <w:t>4</w:t>
            </w:r>
          </w:p>
        </w:tc>
        <w:tc>
          <w:tcPr>
            <w:tcW w:type="dxa" w:w="7769"/>
          </w:tcPr>
          <w:p>
            <w:pPr>
              <w:spacing w:before="20" w:after="20" w:line="254" w:lineRule="auto"/>
            </w:pPr>
            <w:r>
              <w:rPr>
                <w:rFonts w:ascii="Carlito" w:hAnsi="Carlito"/>
                <w:b w:val="0"/>
                <w:i w:val="0"/>
                <w:sz w:val="19"/>
              </w:rPr>
              <w:t>Name the symptoms that require immediate medical attention?</w:t>
            </w:r>
          </w:p>
        </w:tc>
        <w:tc>
          <w:tcPr>
            <w:tcW w:type="dxa" w:w="1123"/>
          </w:tcPr>
          <w:p>
            <w:pPr>
              <w:spacing w:before="20" w:after="20" w:line="254" w:lineRule="auto"/>
            </w:pPr>
          </w:p>
        </w:tc>
      </w:tr>
      <w:tr>
        <w:tc>
          <w:tcPr>
            <w:tcW w:type="dxa" w:w="468"/>
          </w:tcPr>
          <w:p>
            <w:pPr>
              <w:spacing w:before="20" w:after="20" w:line="254" w:lineRule="auto"/>
            </w:pPr>
            <w:r>
              <w:rPr>
                <w:rFonts w:ascii="Carlito" w:hAnsi="Carlito"/>
                <w:b w:val="0"/>
                <w:i w:val="0"/>
                <w:sz w:val="19"/>
              </w:rPr>
              <w:t>5</w:t>
            </w:r>
          </w:p>
        </w:tc>
        <w:tc>
          <w:tcPr>
            <w:tcW w:type="dxa" w:w="7769"/>
          </w:tcPr>
          <w:p>
            <w:pPr>
              <w:spacing w:before="20" w:after="20" w:line="254" w:lineRule="auto"/>
            </w:pPr>
            <w:r>
              <w:rPr>
                <w:rFonts w:ascii="Carlito" w:hAnsi="Carlito"/>
                <w:b w:val="0"/>
                <w:i w:val="0"/>
                <w:sz w:val="19"/>
              </w:rPr>
              <w:t>Say what the reader should NOT do, including not stopping treatment unilaterally?</w:t>
            </w:r>
          </w:p>
        </w:tc>
        <w:tc>
          <w:tcPr>
            <w:tcW w:type="dxa" w:w="1123"/>
          </w:tcPr>
          <w:p>
            <w:pPr>
              <w:spacing w:before="20" w:after="20" w:line="254" w:lineRule="auto"/>
            </w:pPr>
          </w:p>
        </w:tc>
      </w:tr>
      <w:tr>
        <w:tc>
          <w:tcPr>
            <w:tcW w:type="dxa" w:w="468"/>
          </w:tcPr>
          <w:p>
            <w:pPr>
              <w:spacing w:before="20" w:after="20" w:line="254" w:lineRule="auto"/>
            </w:pPr>
            <w:r>
              <w:rPr>
                <w:rFonts w:ascii="Carlito" w:hAnsi="Carlito"/>
                <w:b w:val="0"/>
                <w:i w:val="0"/>
                <w:sz w:val="19"/>
              </w:rPr>
              <w:t>6</w:t>
            </w:r>
          </w:p>
        </w:tc>
        <w:tc>
          <w:tcPr>
            <w:tcW w:type="dxa" w:w="7769"/>
          </w:tcPr>
          <w:p>
            <w:pPr>
              <w:spacing w:before="20" w:after="20" w:line="254" w:lineRule="auto"/>
            </w:pPr>
            <w:r>
              <w:rPr>
                <w:rFonts w:ascii="Carlito" w:hAnsi="Carlito"/>
                <w:b w:val="0"/>
                <w:i w:val="0"/>
                <w:sz w:val="19"/>
              </w:rPr>
              <w:t>Avoid every term implying proof, and every technical term not defined in the sentence that uses it?</w:t>
            </w:r>
          </w:p>
        </w:tc>
        <w:tc>
          <w:tcPr>
            <w:tcW w:type="dxa" w:w="1123"/>
          </w:tcPr>
          <w:p>
            <w:pPr>
              <w:spacing w:before="20" w:after="20" w:line="254" w:lineRule="auto"/>
            </w:pPr>
          </w:p>
        </w:tc>
      </w:tr>
      <w:tr>
        <w:tc>
          <w:tcPr>
            <w:tcW w:type="dxa" w:w="468"/>
          </w:tcPr>
          <w:p>
            <w:pPr>
              <w:spacing w:before="20" w:after="20" w:line="254" w:lineRule="auto"/>
            </w:pPr>
            <w:r>
              <w:rPr>
                <w:rFonts w:ascii="Carlito" w:hAnsi="Carlito"/>
                <w:b w:val="0"/>
                <w:i w:val="0"/>
                <w:sz w:val="19"/>
              </w:rPr>
              <w:t>7</w:t>
            </w:r>
          </w:p>
        </w:tc>
        <w:tc>
          <w:tcPr>
            <w:tcW w:type="dxa" w:w="7769"/>
          </w:tcPr>
          <w:p>
            <w:pPr>
              <w:spacing w:before="20" w:after="20" w:line="254" w:lineRule="auto"/>
            </w:pPr>
            <w:r>
              <w:rPr>
                <w:rFonts w:ascii="Carlito" w:hAnsi="Carlito"/>
                <w:b w:val="0"/>
                <w:i w:val="0"/>
                <w:sz w:val="19"/>
              </w:rPr>
              <w:t>Keep one denominator throughout, if it uses numbers at all?</w:t>
            </w:r>
          </w:p>
        </w:tc>
        <w:tc>
          <w:tcPr>
            <w:tcW w:type="dxa" w:w="1123"/>
          </w:tcPr>
          <w:p>
            <w:pPr>
              <w:spacing w:before="20" w:after="20" w:line="254" w:lineRule="auto"/>
            </w:pPr>
          </w:p>
        </w:tc>
      </w:tr>
      <w:tr>
        <w:tc>
          <w:tcPr>
            <w:tcW w:type="dxa" w:w="468"/>
          </w:tcPr>
          <w:p>
            <w:pPr>
              <w:spacing w:before="20" w:after="20" w:line="254" w:lineRule="auto"/>
            </w:pPr>
            <w:r>
              <w:rPr>
                <w:rFonts w:ascii="Carlito" w:hAnsi="Carlito"/>
                <w:b w:val="0"/>
                <w:i w:val="0"/>
                <w:sz w:val="19"/>
              </w:rPr>
              <w:t>8</w:t>
            </w:r>
          </w:p>
        </w:tc>
        <w:tc>
          <w:tcPr>
            <w:tcW w:type="dxa" w:w="7769"/>
          </w:tcPr>
          <w:p>
            <w:pPr>
              <w:spacing w:before="20" w:after="20" w:line="254" w:lineRule="auto"/>
            </w:pPr>
            <w:r>
              <w:rPr>
                <w:rFonts w:ascii="Carlito" w:hAnsi="Carlito"/>
                <w:b w:val="0"/>
                <w:i w:val="0"/>
                <w:sz w:val="19"/>
              </w:rPr>
              <w:t>Say where the next update will appear?</w:t>
            </w:r>
          </w:p>
        </w:tc>
        <w:tc>
          <w:tcPr>
            <w:tcW w:type="dxa" w:w="1123"/>
          </w:tcPr>
          <w:p>
            <w:pPr>
              <w:spacing w:before="20" w:after="20" w:line="254" w:lineRule="auto"/>
            </w:pPr>
          </w:p>
        </w:tc>
      </w:tr>
    </w:tbl>
    <w:p>
      <w:pPr>
        <w:spacing w:after="40"/>
      </w:pPr>
    </w:p>
    <w:p>
      <w:pPr>
        <w:pStyle w:val="Heading1"/>
      </w:pPr>
      <w:r>
        <w:t>Part C — Post-release monitoring</w:t>
      </w:r>
    </w:p>
    <w:tbl>
      <w:tblPr>
        <w:tblStyle w:val="ToolkitTable"/>
        <w:tblW w:type="auto" w:w="0"/>
        <w:jc w:val="left"/>
        <w:tblLayout w:type="fixed"/>
        <w:tblLook w:val="04A0" w:firstRow="1" w:lastRow="0" w:firstColumn="0" w:lastColumn="0" w:noHBand="0" w:noVBand="1"/>
      </w:tblPr>
      <w:tblGrid>
        <w:gridCol w:w="2246"/>
        <w:gridCol w:w="2246"/>
        <w:gridCol w:w="1310"/>
        <w:gridCol w:w="1310"/>
        <w:gridCol w:w="2246"/>
      </w:tblGrid>
      <w:tr>
        <w:trPr>
          <w:tblHeader/>
        </w:trPr>
        <w:tc>
          <w:tcPr>
            <w:tcW w:type="dxa" w:w="2246"/>
          </w:tcPr>
          <w:p>
            <w:pPr>
              <w:spacing w:before="20" w:after="20" w:line="254" w:lineRule="auto"/>
            </w:pPr>
            <w:r>
              <w:rPr>
                <w:rFonts w:ascii="Carlito" w:hAnsi="Carlito"/>
                <w:b/>
                <w:i w:val="0"/>
                <w:color w:val="FFFFFF"/>
                <w:sz w:val="19"/>
              </w:rPr>
              <w:t>What is monitored</w:t>
            </w:r>
          </w:p>
        </w:tc>
        <w:tc>
          <w:tcPr>
            <w:tcW w:type="dxa" w:w="2246"/>
          </w:tcPr>
          <w:p>
            <w:pPr>
              <w:spacing w:before="20" w:after="20" w:line="254" w:lineRule="auto"/>
            </w:pPr>
            <w:r>
              <w:rPr>
                <w:rFonts w:ascii="Carlito" w:hAnsi="Carlito"/>
                <w:b/>
                <w:i w:val="0"/>
                <w:color w:val="FFFFFF"/>
                <w:sz w:val="19"/>
              </w:rPr>
              <w:t>How</w:t>
            </w:r>
          </w:p>
        </w:tc>
        <w:tc>
          <w:tcPr>
            <w:tcW w:type="dxa" w:w="1310"/>
          </w:tcPr>
          <w:p>
            <w:pPr>
              <w:spacing w:before="20" w:after="20" w:line="254" w:lineRule="auto"/>
            </w:pPr>
            <w:r>
              <w:rPr>
                <w:rFonts w:ascii="Carlito" w:hAnsi="Carlito"/>
                <w:b/>
                <w:i w:val="0"/>
                <w:color w:val="FFFFFF"/>
                <w:sz w:val="19"/>
              </w:rPr>
              <w:t>Owner</w:t>
            </w:r>
          </w:p>
        </w:tc>
        <w:tc>
          <w:tcPr>
            <w:tcW w:type="dxa" w:w="1310"/>
          </w:tcPr>
          <w:p>
            <w:pPr>
              <w:spacing w:before="20" w:after="20" w:line="254" w:lineRule="auto"/>
            </w:pPr>
            <w:r>
              <w:rPr>
                <w:rFonts w:ascii="Carlito" w:hAnsi="Carlito"/>
                <w:b/>
                <w:i w:val="0"/>
                <w:color w:val="FFFFFF"/>
                <w:sz w:val="19"/>
              </w:rPr>
              <w:t>First review date</w:t>
            </w:r>
          </w:p>
        </w:tc>
        <w:tc>
          <w:tcPr>
            <w:tcW w:type="dxa" w:w="2246"/>
          </w:tcPr>
          <w:p>
            <w:pPr>
              <w:spacing w:before="20" w:after="20" w:line="254" w:lineRule="auto"/>
            </w:pPr>
            <w:r>
              <w:rPr>
                <w:rFonts w:ascii="Carlito" w:hAnsi="Carlito"/>
                <w:b/>
                <w:i w:val="0"/>
                <w:color w:val="FFFFFF"/>
                <w:sz w:val="19"/>
              </w:rPr>
              <w:t>Escalation trigger</w:t>
            </w:r>
          </w:p>
        </w:tc>
      </w:tr>
      <w:tr>
        <w:tc>
          <w:tcPr>
            <w:tcW w:type="dxa" w:w="2246"/>
          </w:tcPr>
          <w:p>
            <w:pPr>
              <w:spacing w:before="20" w:after="20" w:line="254" w:lineRule="auto"/>
            </w:pPr>
            <w:r>
              <w:rPr>
                <w:rFonts w:ascii="Carlito" w:hAnsi="Carlito"/>
                <w:b w:val="0"/>
                <w:i w:val="0"/>
                <w:sz w:val="19"/>
              </w:rPr>
              <w:t>Enquiries received</w:t>
            </w:r>
          </w:p>
        </w:tc>
        <w:tc>
          <w:tcPr>
            <w:tcW w:type="dxa" w:w="2246"/>
          </w:tcPr>
          <w:p>
            <w:pPr>
              <w:spacing w:before="20" w:after="20" w:line="254" w:lineRule="auto"/>
            </w:pPr>
          </w:p>
        </w:tc>
        <w:tc>
          <w:tcPr>
            <w:tcW w:type="dxa" w:w="1310"/>
          </w:tcPr>
          <w:p>
            <w:pPr>
              <w:spacing w:before="20" w:after="20" w:line="254" w:lineRule="auto"/>
            </w:pPr>
          </w:p>
        </w:tc>
        <w:tc>
          <w:tcPr>
            <w:tcW w:type="dxa" w:w="1310"/>
          </w:tcPr>
          <w:p>
            <w:pPr>
              <w:spacing w:before="20" w:after="20" w:line="254" w:lineRule="auto"/>
            </w:pPr>
          </w:p>
        </w:tc>
        <w:tc>
          <w:tcPr>
            <w:tcW w:type="dxa" w:w="2246"/>
          </w:tcPr>
          <w:p>
            <w:pPr>
              <w:spacing w:before="20" w:after="20" w:line="254" w:lineRule="auto"/>
            </w:pPr>
          </w:p>
        </w:tc>
      </w:tr>
      <w:tr>
        <w:tc>
          <w:tcPr>
            <w:tcW w:type="dxa" w:w="2246"/>
          </w:tcPr>
          <w:p>
            <w:pPr>
              <w:spacing w:before="20" w:after="20" w:line="254" w:lineRule="auto"/>
            </w:pPr>
            <w:r>
              <w:rPr>
                <w:rFonts w:ascii="Carlito" w:hAnsi="Carlito"/>
                <w:b w:val="0"/>
                <w:i w:val="0"/>
                <w:sz w:val="19"/>
              </w:rPr>
              <w:t>Media accuracy</w:t>
            </w:r>
          </w:p>
        </w:tc>
        <w:tc>
          <w:tcPr>
            <w:tcW w:type="dxa" w:w="2246"/>
          </w:tcPr>
          <w:p>
            <w:pPr>
              <w:spacing w:before="20" w:after="20" w:line="254" w:lineRule="auto"/>
            </w:pPr>
          </w:p>
        </w:tc>
        <w:tc>
          <w:tcPr>
            <w:tcW w:type="dxa" w:w="1310"/>
          </w:tcPr>
          <w:p>
            <w:pPr>
              <w:spacing w:before="20" w:after="20" w:line="254" w:lineRule="auto"/>
            </w:pPr>
          </w:p>
        </w:tc>
        <w:tc>
          <w:tcPr>
            <w:tcW w:type="dxa" w:w="1310"/>
          </w:tcPr>
          <w:p>
            <w:pPr>
              <w:spacing w:before="20" w:after="20" w:line="254" w:lineRule="auto"/>
            </w:pPr>
          </w:p>
        </w:tc>
        <w:tc>
          <w:tcPr>
            <w:tcW w:type="dxa" w:w="2246"/>
          </w:tcPr>
          <w:p>
            <w:pPr>
              <w:spacing w:before="20" w:after="20" w:line="254" w:lineRule="auto"/>
            </w:pPr>
          </w:p>
        </w:tc>
      </w:tr>
      <w:tr>
        <w:tc>
          <w:tcPr>
            <w:tcW w:type="dxa" w:w="2246"/>
          </w:tcPr>
          <w:p>
            <w:pPr>
              <w:spacing w:before="20" w:after="20" w:line="254" w:lineRule="auto"/>
            </w:pPr>
            <w:r>
              <w:rPr>
                <w:rFonts w:ascii="Carlito" w:hAnsi="Carlito"/>
                <w:b w:val="0"/>
                <w:i w:val="0"/>
                <w:sz w:val="19"/>
              </w:rPr>
              <w:t>Dispensing and discontinuation</w:t>
            </w:r>
          </w:p>
        </w:tc>
        <w:tc>
          <w:tcPr>
            <w:tcW w:type="dxa" w:w="2246"/>
          </w:tcPr>
          <w:p>
            <w:pPr>
              <w:spacing w:before="20" w:after="20" w:line="254" w:lineRule="auto"/>
            </w:pPr>
          </w:p>
        </w:tc>
        <w:tc>
          <w:tcPr>
            <w:tcW w:type="dxa" w:w="1310"/>
          </w:tcPr>
          <w:p>
            <w:pPr>
              <w:spacing w:before="20" w:after="20" w:line="254" w:lineRule="auto"/>
            </w:pPr>
          </w:p>
        </w:tc>
        <w:tc>
          <w:tcPr>
            <w:tcW w:type="dxa" w:w="1310"/>
          </w:tcPr>
          <w:p>
            <w:pPr>
              <w:spacing w:before="20" w:after="20" w:line="254" w:lineRule="auto"/>
            </w:pPr>
          </w:p>
        </w:tc>
        <w:tc>
          <w:tcPr>
            <w:tcW w:type="dxa" w:w="2246"/>
          </w:tcPr>
          <w:p>
            <w:pPr>
              <w:spacing w:before="20" w:after="20" w:line="254" w:lineRule="auto"/>
            </w:pPr>
          </w:p>
        </w:tc>
      </w:tr>
      <w:tr>
        <w:tc>
          <w:tcPr>
            <w:tcW w:type="dxa" w:w="2246"/>
          </w:tcPr>
          <w:p>
            <w:pPr>
              <w:spacing w:before="20" w:after="20" w:line="254" w:lineRule="auto"/>
            </w:pPr>
            <w:r>
              <w:rPr>
                <w:rFonts w:ascii="Carlito" w:hAnsi="Carlito"/>
                <w:b w:val="0"/>
                <w:i w:val="0"/>
                <w:sz w:val="19"/>
              </w:rPr>
              <w:t>Stimulated reporting</w:t>
            </w:r>
          </w:p>
        </w:tc>
        <w:tc>
          <w:tcPr>
            <w:tcW w:type="dxa" w:w="2246"/>
          </w:tcPr>
          <w:p>
            <w:pPr>
              <w:spacing w:before="20" w:after="20" w:line="254" w:lineRule="auto"/>
            </w:pPr>
          </w:p>
        </w:tc>
        <w:tc>
          <w:tcPr>
            <w:tcW w:type="dxa" w:w="1310"/>
          </w:tcPr>
          <w:p>
            <w:pPr>
              <w:spacing w:before="20" w:after="20" w:line="254" w:lineRule="auto"/>
            </w:pPr>
          </w:p>
        </w:tc>
        <w:tc>
          <w:tcPr>
            <w:tcW w:type="dxa" w:w="1310"/>
          </w:tcPr>
          <w:p>
            <w:pPr>
              <w:spacing w:before="20" w:after="20" w:line="254" w:lineRule="auto"/>
            </w:pPr>
          </w:p>
        </w:tc>
        <w:tc>
          <w:tcPr>
            <w:tcW w:type="dxa" w:w="2246"/>
          </w:tcPr>
          <w:p>
            <w:pPr>
              <w:spacing w:before="20" w:after="20" w:line="254" w:lineRule="auto"/>
            </w:pPr>
          </w:p>
          <w:p>
            <w:pPr>
              <w:spacing w:before="20" w:after="20" w:line="254" w:lineRule="auto"/>
            </w:pPr>
            <w:r>
              <w:rPr>
                <w:rFonts w:ascii="Carlito" w:hAnsi="Carlito"/>
                <w:b w:val="0"/>
                <w:i/>
                <w:color w:val="4A5B63"/>
                <w:sz w:val="17"/>
              </w:rPr>
              <w:t>Expect an increase. Record the expectation now so a rise is not later read as a new signal.</w:t>
            </w:r>
          </w:p>
        </w:tc>
      </w:tr>
      <w:tr>
        <w:tc>
          <w:tcPr>
            <w:tcW w:type="dxa" w:w="2246"/>
          </w:tcPr>
          <w:p>
            <w:pPr>
              <w:spacing w:before="20" w:after="20" w:line="254" w:lineRule="auto"/>
            </w:pPr>
            <w:r>
              <w:rPr>
                <w:rFonts w:ascii="Carlito" w:hAnsi="Carlito"/>
                <w:b w:val="0"/>
                <w:i w:val="0"/>
                <w:sz w:val="19"/>
              </w:rPr>
              <w:t>Consistency of downstream material</w:t>
            </w:r>
          </w:p>
        </w:tc>
        <w:tc>
          <w:tcPr>
            <w:tcW w:type="dxa" w:w="2246"/>
          </w:tcPr>
          <w:p>
            <w:pPr>
              <w:spacing w:before="20" w:after="20" w:line="254" w:lineRule="auto"/>
            </w:pPr>
          </w:p>
        </w:tc>
        <w:tc>
          <w:tcPr>
            <w:tcW w:type="dxa" w:w="1310"/>
          </w:tcPr>
          <w:p>
            <w:pPr>
              <w:spacing w:before="20" w:after="20" w:line="254" w:lineRule="auto"/>
            </w:pPr>
          </w:p>
        </w:tc>
        <w:tc>
          <w:tcPr>
            <w:tcW w:type="dxa" w:w="1310"/>
          </w:tcPr>
          <w:p>
            <w:pPr>
              <w:spacing w:before="20" w:after="20" w:line="254" w:lineRule="auto"/>
            </w:pPr>
          </w:p>
        </w:tc>
        <w:tc>
          <w:tcPr>
            <w:tcW w:type="dxa" w:w="2246"/>
          </w:tcPr>
          <w:p>
            <w:pPr>
              <w:spacing w:before="20" w:after="20" w:line="254" w:lineRule="auto"/>
            </w:pPr>
          </w:p>
        </w:tc>
      </w:tr>
    </w:tbl>
    <w:p>
      <w:pPr>
        <w:spacing w:after="40"/>
      </w:pPr>
    </w:p>
    <w:p>
      <w:pPr>
        <w:spacing w:before="40" w:after="160"/>
        <w:pBdr>
          <w:bottom w:val="single" w:sz="6" w:space="1" w:color="9FBAC0"/>
        </w:pBdr>
      </w:pPr>
    </w:p>
    <w:p>
      <w:r>
        <w:rPr>
          <w:rFonts w:ascii="Carlito" w:hAnsi="Carlito"/>
          <w:i/>
          <w:color w:val="4A5B63"/>
          <w:sz w:val="18"/>
        </w:rPr>
        <w:t>This template is educational. It does not replace applicable law, current regulatory guidance, medical judgment, or company procedures. Adapt it to your own procedures before use.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4A5B63"/>
        <w:sz w:val="16"/>
      </w:rPr>
      <w:t>T-23 Signal Communication Checklist and Translation Exercise · Signal Management in Pharmacovigilance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Carlito" w:hAnsi="Carlito" w:cs="Carlito" w:eastAsia="Carlito"/>
      <w:color w:val="1E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keepNext/>
    </w:pPr>
    <w:rPr>
      <w:rFonts w:asciiTheme="majorHAnsi" w:eastAsiaTheme="majorEastAsia" w:hAnsiTheme="majorHAnsi" w:cstheme="majorBidi" w:ascii="Caladea" w:hAnsi="Caladea" w:cs="Caladea" w:eastAsia="Caladea"/>
      <w:b/>
      <w:bCs/>
      <w:color w:val="1F5661"/>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keepNext/>
    </w:pPr>
    <w:rPr>
      <w:rFonts w:asciiTheme="majorHAnsi" w:eastAsiaTheme="majorEastAsia" w:hAnsiTheme="majorHAnsi" w:cstheme="majorBidi" w:ascii="Caladea" w:hAnsi="Caladea" w:cs="Caladea" w:eastAsia="Caladea"/>
      <w:b/>
      <w:bCs/>
      <w:color w:val="1F5661"/>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keepNext/>
    </w:pPr>
    <w:rPr>
      <w:rFonts w:asciiTheme="majorHAnsi" w:eastAsiaTheme="majorEastAsia" w:hAnsiTheme="majorHAnsi" w:cstheme="majorBidi" w:ascii="Caladea" w:hAnsi="Caladea" w:cs="Caladea" w:eastAsia="Caladea"/>
      <w:b/>
      <w:bCs/>
      <w:color w:val="1F56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Caladea" w:hAnsi="Caladea" w:cs="Caladea" w:eastAsia="Caladea"/>
      <w:b/>
      <w:color w:val="1F566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before="0" w:after="140"/>
    </w:pPr>
    <w:rPr>
      <w:rFonts w:ascii="Carlito" w:hAnsi="Carlito" w:cs="Carlito" w:eastAsia="Carlito"/>
      <w:i/>
      <w:color w:val="4A5B63"/>
      <w:sz w:val="19"/>
    </w:rPr>
  </w:style>
  <w:style w:type="paragraph" w:customStyle="1" w:styleId="SubtleNote">
    <w:name w:val="SubtleNote"/>
    <w:basedOn w:val="Normal"/>
    <w:pPr>
      <w:spacing w:before="0" w:after="100"/>
    </w:pPr>
    <w:rPr>
      <w:rFonts w:ascii="Carlito" w:hAnsi="Carlito" w:cs="Carlito" w:eastAsia="Carlito"/>
      <w:color w:val="4A5B63"/>
      <w:sz w:val="19"/>
    </w:rPr>
  </w:style>
  <w:style w:type="table" w:styleId="ToolkitTable">
    <w:name w:val="Toolkit Table"/>
    <w:basedOn w:val="TableNormal"/>
    <w:uiPriority w:val="59"/>
    <w:qFormat/>
    <w:rPr>
      <w:rFonts w:ascii="Carlito" w:hAnsi="Carlito" w:cs="Carlito"/>
      <w:color w:val="1E2A32"/>
      <w:sz w:val="19"/>
    </w:rPr>
    <w:tblPr>
      <w:tblStyleRowBandSize w:val="1"/>
      <w:tblBorders>
        <w:top w:val="single" w:sz="4" w:space="0" w:color="9FBAC0"/>
        <w:left w:val="single" w:sz="4" w:space="0" w:color="9FBAC0"/>
        <w:bottom w:val="single" w:sz="4" w:space="0" w:color="9FBAC0"/>
        <w:right w:val="single" w:sz="4" w:space="0" w:color="9FBAC0"/>
        <w:insideH w:val="single" w:sz="4" w:space="0" w:color="9FBAC0"/>
        <w:insideV w:val="single" w:sz="4" w:space="0" w:color="9FBAC0"/>
      </w:tblBorders>
      <w:tblCellMar>
        <w:top w:w="72" w:type="dxa"/>
        <w:left w:w="101" w:type="dxa"/>
        <w:bottom w:w="72" w:type="dxa"/>
        <w:right w:w="101" w:type="dxa"/>
      </w:tblCellMar>
    </w:tblPr>
    <w:tblStylePr w:type="firstRow">
      <w:pPr>
        <w:keepNext/>
        <w:spacing w:before="20" w:after="20"/>
      </w:pPr>
      <w:rPr>
        <w:rFonts w:ascii="Carlito" w:hAnsi="Carlito"/>
        <w:b/>
        <w:color w:val="FFFFFF"/>
      </w:rPr>
      <w:tcPr>
        <w:shd w:val="clear" w:color="auto" w:fill="1F5661"/>
      </w:tcPr>
    </w:tblStylePr>
    <w:tblStylePr w:type="band1Horz">
      <w:tcPr>
        <w:shd w:val="clear" w:color="auto" w:fill="E8EFE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