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T-24 — Competency Self-Assessment and Professional Development Plan</w:t>
      </w:r>
    </w:p>
    <w:p>
      <w:pPr>
        <w:spacing w:after="20"/>
      </w:pPr>
      <w:r>
        <w:rPr>
          <w:rFonts w:ascii="Caladea" w:hAnsi="Caladea"/>
          <w:b/>
          <w:color w:val="1E2A32"/>
          <w:sz w:val="21"/>
        </w:rPr>
        <w:t>Signal Management in Pharmacovigilance</w:t>
      </w:r>
    </w:p>
    <w:p>
      <w:pPr>
        <w:spacing w:after="120"/>
      </w:pPr>
      <w:r>
        <w:rPr>
          <w:rFonts w:ascii="Carlito" w:hAnsi="Carlito"/>
          <w:color w:val="4A5B63"/>
          <w:sz w:val="19"/>
        </w:rPr>
        <w:t>Dr. Hafez Selim, MD, PhD  ·  Selim Medical Press</w:t>
      </w:r>
    </w:p>
    <w:p>
      <w:pPr>
        <w:spacing w:before="40" w:after="160"/>
        <w:pBdr>
          <w:bottom w:val="single" w:sz="12" w:space="1" w:color="1F5661"/>
        </w:pBdr>
      </w:pPr>
    </w:p>
    <w:p>
      <w:pPr>
        <w:spacing w:after="200"/>
      </w:pPr>
      <w:r>
        <w:rPr>
          <w:rFonts w:ascii="Carlito" w:hAnsi="Carlito"/>
          <w:b/>
          <w:color w:val="1F5661"/>
          <w:sz w:val="20"/>
        </w:rPr>
        <w:t xml:space="preserve">When to use this tool: </w:t>
      </w:r>
      <w:r>
        <w:rPr>
          <w:rFonts w:ascii="Carlito" w:hAnsi="Carlito"/>
          <w:color w:val="1E2A32"/>
          <w:sz w:val="20"/>
        </w:rPr>
        <w:t>Complete annually and, where possible, review it with a second person who has seen your work.</w:t>
      </w:r>
    </w:p>
    <w:p>
      <w:r>
        <w:t>Rate each domain against observable evidence, not a general impression, and enter real artifacts: a memo, an assessment report, a protocol, a minute, a documented override. A domain with no artifact from the last twelve months is a gap, and entering “none” is the most useful thing the form can do.</w:t>
      </w:r>
    </w:p>
    <w:p>
      <w:pPr>
        <w:pStyle w:val="Prompt"/>
      </w:pPr>
      <w:r>
        <w:t>Two habits make the exercise worth repeating. Date the plan and keep the previous year's copy, so progress is measured against what you wrote then rather than what you now remember writing. And attach actions to work you will do anyway: the assessment you volunteer to lead, the protocol you draft rather than review, the committee item you take to a documented conclusion. A course completed without an artifact leaves nothing for next year's form.</w:t>
      </w:r>
    </w:p>
    <w:p>
      <w:pPr>
        <w:pStyle w:val="SubtleNote"/>
      </w:pPr>
      <w:r>
        <w:t>The scheme is an illustrative design, not a regulatory or professional requirement.</w:t>
      </w:r>
    </w:p>
    <w:p>
      <w:pPr>
        <w:pStyle w:val="Heading1"/>
      </w:pPr>
      <w:r>
        <w:t>Competency map</w:t>
      </w:r>
    </w:p>
    <w:p>
      <w:r>
        <w:t>Evidence of proficiency is observable work product, not self-description.</w:t>
      </w:r>
    </w:p>
    <w:tbl>
      <w:tblPr>
        <w:tblStyle w:val="ToolkitTable"/>
        <w:tblW w:type="auto" w:w="0"/>
        <w:jc w:val="left"/>
        <w:tblLayout w:type="fixed"/>
        <w:tblLook w:val="04A0" w:firstRow="1" w:lastRow="0" w:firstColumn="0" w:lastColumn="0" w:noHBand="0" w:noVBand="1"/>
      </w:tblPr>
      <w:tblGrid>
        <w:gridCol w:w="1498"/>
        <w:gridCol w:w="2434"/>
        <w:gridCol w:w="2714"/>
        <w:gridCol w:w="2714"/>
      </w:tblGrid>
      <w:tr>
        <w:trPr>
          <w:tblHeader/>
        </w:trPr>
        <w:tc>
          <w:tcPr>
            <w:tcW w:type="dxa" w:w="1498"/>
          </w:tcPr>
          <w:p>
            <w:pPr>
              <w:spacing w:before="20" w:after="20" w:line="254" w:lineRule="auto"/>
            </w:pPr>
            <w:r>
              <w:rPr>
                <w:rFonts w:ascii="Carlito" w:hAnsi="Carlito"/>
                <w:b/>
                <w:i w:val="0"/>
                <w:color w:val="FFFFFF"/>
                <w:sz w:val="19"/>
              </w:rPr>
              <w:t>Domain</w:t>
            </w:r>
          </w:p>
        </w:tc>
        <w:tc>
          <w:tcPr>
            <w:tcW w:type="dxa" w:w="2434"/>
          </w:tcPr>
          <w:p>
            <w:pPr>
              <w:spacing w:before="20" w:after="20" w:line="254" w:lineRule="auto"/>
            </w:pPr>
            <w:r>
              <w:rPr>
                <w:rFonts w:ascii="Carlito" w:hAnsi="Carlito"/>
                <w:b/>
                <w:i w:val="0"/>
                <w:color w:val="FFFFFF"/>
                <w:sz w:val="19"/>
              </w:rPr>
              <w:t>Beginner</w:t>
            </w:r>
          </w:p>
        </w:tc>
        <w:tc>
          <w:tcPr>
            <w:tcW w:type="dxa" w:w="2714"/>
          </w:tcPr>
          <w:p>
            <w:pPr>
              <w:spacing w:before="20" w:after="20" w:line="254" w:lineRule="auto"/>
            </w:pPr>
            <w:r>
              <w:rPr>
                <w:rFonts w:ascii="Carlito" w:hAnsi="Carlito"/>
                <w:b/>
                <w:i w:val="0"/>
                <w:color w:val="FFFFFF"/>
                <w:sz w:val="19"/>
              </w:rPr>
              <w:t>Independent practitioner</w:t>
            </w:r>
          </w:p>
        </w:tc>
        <w:tc>
          <w:tcPr>
            <w:tcW w:type="dxa" w:w="2714"/>
          </w:tcPr>
          <w:p>
            <w:pPr>
              <w:spacing w:before="20" w:after="20" w:line="254" w:lineRule="auto"/>
            </w:pPr>
            <w:r>
              <w:rPr>
                <w:rFonts w:ascii="Carlito" w:hAnsi="Carlito"/>
                <w:b/>
                <w:i w:val="0"/>
                <w:color w:val="FFFFFF"/>
                <w:sz w:val="19"/>
              </w:rPr>
              <w:t>Signal lead</w:t>
            </w:r>
          </w:p>
        </w:tc>
      </w:tr>
      <w:tr>
        <w:tc>
          <w:tcPr>
            <w:tcW w:type="dxa" w:w="1498"/>
          </w:tcPr>
          <w:p>
            <w:pPr>
              <w:spacing w:before="20" w:after="20" w:line="254" w:lineRule="auto"/>
            </w:pPr>
            <w:r>
              <w:rPr>
                <w:rFonts w:ascii="Carlito" w:hAnsi="Carlito"/>
                <w:b w:val="0"/>
                <w:i w:val="0"/>
                <w:sz w:val="19"/>
              </w:rPr>
              <w:t>Clinical reasoning</w:t>
            </w:r>
          </w:p>
        </w:tc>
        <w:tc>
          <w:tcPr>
            <w:tcW w:type="dxa" w:w="2434"/>
          </w:tcPr>
          <w:p>
            <w:pPr>
              <w:spacing w:before="20" w:after="20" w:line="254" w:lineRule="auto"/>
            </w:pPr>
            <w:r>
              <w:rPr>
                <w:rFonts w:ascii="Carlito" w:hAnsi="Carlito"/>
                <w:b w:val="0"/>
                <w:i w:val="0"/>
                <w:sz w:val="19"/>
              </w:rPr>
              <w:t>Summarizes a case without conflating reporter opinion and observed fact; lists alternative causes present in the narrative</w:t>
            </w:r>
          </w:p>
        </w:tc>
        <w:tc>
          <w:tcPr>
            <w:tcW w:type="dxa" w:w="2714"/>
          </w:tcPr>
          <w:p>
            <w:pPr>
              <w:spacing w:before="20" w:after="20" w:line="254" w:lineRule="auto"/>
            </w:pPr>
            <w:r>
              <w:rPr>
                <w:rFonts w:ascii="Carlito" w:hAnsi="Carlito"/>
                <w:b w:val="0"/>
                <w:i w:val="0"/>
                <w:sz w:val="19"/>
              </w:rPr>
              <w:t>Groups records across preferred terms into one clinical entity and defends the grouping; records each alternative as present, absent, or not assessed</w:t>
            </w:r>
          </w:p>
        </w:tc>
        <w:tc>
          <w:tcPr>
            <w:tcW w:type="dxa" w:w="2714"/>
          </w:tcPr>
          <w:p>
            <w:pPr>
              <w:spacing w:before="20" w:after="20" w:line="254" w:lineRule="auto"/>
            </w:pPr>
            <w:r>
              <w:rPr>
                <w:rFonts w:ascii="Carlito" w:hAnsi="Carlito"/>
                <w:b w:val="0"/>
                <w:i w:val="0"/>
                <w:sz w:val="19"/>
              </w:rPr>
              <w:t>Writes the case definition others adjudicate against; reconciles two reviewers' discordant classifications with a written rule</w:t>
            </w:r>
          </w:p>
        </w:tc>
      </w:tr>
      <w:tr>
        <w:tc>
          <w:tcPr>
            <w:tcW w:type="dxa" w:w="1498"/>
          </w:tcPr>
          <w:p>
            <w:pPr>
              <w:spacing w:before="20" w:after="20" w:line="254" w:lineRule="auto"/>
            </w:pPr>
            <w:r>
              <w:rPr>
                <w:rFonts w:ascii="Carlito" w:hAnsi="Carlito"/>
                <w:b w:val="0"/>
                <w:i w:val="0"/>
                <w:sz w:val="19"/>
              </w:rPr>
              <w:t>Quantitative literacy</w:t>
            </w:r>
          </w:p>
        </w:tc>
        <w:tc>
          <w:tcPr>
            <w:tcW w:type="dxa" w:w="2434"/>
          </w:tcPr>
          <w:p>
            <w:pPr>
              <w:spacing w:before="20" w:after="20" w:line="254" w:lineRule="auto"/>
            </w:pPr>
            <w:r>
              <w:rPr>
                <w:rFonts w:ascii="Carlito" w:hAnsi="Carlito"/>
                <w:b w:val="0"/>
                <w:i w:val="0"/>
                <w:sz w:val="19"/>
              </w:rPr>
              <w:t>Computes and correctly interprets a two-by-two, PRR, ROR and O/E; states what each cannot support</w:t>
            </w:r>
          </w:p>
        </w:tc>
        <w:tc>
          <w:tcPr>
            <w:tcW w:type="dxa" w:w="2714"/>
          </w:tcPr>
          <w:p>
            <w:pPr>
              <w:spacing w:before="20" w:after="20" w:line="254" w:lineRule="auto"/>
            </w:pPr>
            <w:r>
              <w:rPr>
                <w:rFonts w:ascii="Carlito" w:hAnsi="Carlito"/>
                <w:b w:val="0"/>
                <w:i w:val="0"/>
                <w:sz w:val="19"/>
              </w:rPr>
              <w:t>Identifies the comparator and the exclusions in someone else's analysis and names the direction of the resulting bias</w:t>
            </w:r>
          </w:p>
        </w:tc>
        <w:tc>
          <w:tcPr>
            <w:tcW w:type="dxa" w:w="2714"/>
          </w:tcPr>
          <w:p>
            <w:pPr>
              <w:spacing w:before="20" w:after="20" w:line="254" w:lineRule="auto"/>
            </w:pPr>
            <w:r>
              <w:rPr>
                <w:rFonts w:ascii="Carlito" w:hAnsi="Carlito"/>
                <w:b w:val="0"/>
                <w:i w:val="0"/>
                <w:sz w:val="19"/>
              </w:rPr>
              <w:t>Specifies the design and sensitivity analyses in a protocol; rejects an analysis whose negative control fails and says why</w:t>
            </w:r>
          </w:p>
        </w:tc>
      </w:tr>
      <w:tr>
        <w:tc>
          <w:tcPr>
            <w:tcW w:type="dxa" w:w="1498"/>
          </w:tcPr>
          <w:p>
            <w:pPr>
              <w:spacing w:before="20" w:after="20" w:line="254" w:lineRule="auto"/>
            </w:pPr>
            <w:r>
              <w:rPr>
                <w:rFonts w:ascii="Carlito" w:hAnsi="Carlito"/>
                <w:b w:val="0"/>
                <w:i w:val="0"/>
                <w:sz w:val="19"/>
              </w:rPr>
              <w:t>Regulatory judgment</w:t>
            </w:r>
          </w:p>
        </w:tc>
        <w:tc>
          <w:tcPr>
            <w:tcW w:type="dxa" w:w="2434"/>
          </w:tcPr>
          <w:p>
            <w:pPr>
              <w:spacing w:before="20" w:after="20" w:line="254" w:lineRule="auto"/>
            </w:pPr>
            <w:r>
              <w:rPr>
                <w:rFonts w:ascii="Carlito" w:hAnsi="Carlito"/>
                <w:b w:val="0"/>
                <w:i w:val="0"/>
                <w:sz w:val="19"/>
              </w:rPr>
              <w:t>Names the correct process step and output for a given jurisdiction; cites the version and date of a guidance</w:t>
            </w:r>
          </w:p>
        </w:tc>
        <w:tc>
          <w:tcPr>
            <w:tcW w:type="dxa" w:w="2714"/>
          </w:tcPr>
          <w:p>
            <w:pPr>
              <w:spacing w:before="20" w:after="20" w:line="254" w:lineRule="auto"/>
            </w:pPr>
            <w:r>
              <w:rPr>
                <w:rFonts w:ascii="Carlito" w:hAnsi="Carlito"/>
                <w:b w:val="0"/>
                <w:i w:val="0"/>
                <w:sz w:val="19"/>
              </w:rPr>
              <w:t>Drafts a validation memo and an assessment report that an assessor can follow without asking questions</w:t>
            </w:r>
          </w:p>
        </w:tc>
        <w:tc>
          <w:tcPr>
            <w:tcW w:type="dxa" w:w="2714"/>
          </w:tcPr>
          <w:p>
            <w:pPr>
              <w:spacing w:before="20" w:after="20" w:line="254" w:lineRule="auto"/>
            </w:pPr>
            <w:r>
              <w:rPr>
                <w:rFonts w:ascii="Carlito" w:hAnsi="Carlito"/>
                <w:b w:val="0"/>
                <w:i w:val="0"/>
                <w:sz w:val="19"/>
              </w:rPr>
              <w:t>Selects a proportionate action across regions from one scientific position; defends the choice at a committee and in an inspection</w:t>
            </w:r>
          </w:p>
        </w:tc>
      </w:tr>
      <w:tr>
        <w:tc>
          <w:tcPr>
            <w:tcW w:type="dxa" w:w="1498"/>
          </w:tcPr>
          <w:p>
            <w:pPr>
              <w:spacing w:before="20" w:after="20" w:line="254" w:lineRule="auto"/>
            </w:pPr>
            <w:r>
              <w:rPr>
                <w:rFonts w:ascii="Carlito" w:hAnsi="Carlito"/>
                <w:b w:val="0"/>
                <w:i w:val="0"/>
                <w:sz w:val="19"/>
              </w:rPr>
              <w:t>Collaboration</w:t>
            </w:r>
          </w:p>
        </w:tc>
        <w:tc>
          <w:tcPr>
            <w:tcW w:type="dxa" w:w="2434"/>
          </w:tcPr>
          <w:p>
            <w:pPr>
              <w:spacing w:before="20" w:after="20" w:line="254" w:lineRule="auto"/>
            </w:pPr>
            <w:r>
              <w:rPr>
                <w:rFonts w:ascii="Carlito" w:hAnsi="Carlito"/>
                <w:b w:val="0"/>
                <w:i w:val="0"/>
                <w:sz w:val="19"/>
              </w:rPr>
              <w:t>Prepares a pre-read that states the decision requested on the first page</w:t>
            </w:r>
          </w:p>
        </w:tc>
        <w:tc>
          <w:tcPr>
            <w:tcW w:type="dxa" w:w="2714"/>
          </w:tcPr>
          <w:p>
            <w:pPr>
              <w:spacing w:before="20" w:after="20" w:line="254" w:lineRule="auto"/>
            </w:pPr>
            <w:r>
              <w:rPr>
                <w:rFonts w:ascii="Carlito" w:hAnsi="Carlito"/>
                <w:b w:val="0"/>
                <w:i w:val="0"/>
                <w:sz w:val="19"/>
              </w:rPr>
              <w:t>Converts a vague concern into a PICOTS-style question that an epidemiologist can execute without further clarification</w:t>
            </w:r>
          </w:p>
        </w:tc>
        <w:tc>
          <w:tcPr>
            <w:tcW w:type="dxa" w:w="2714"/>
          </w:tcPr>
          <w:p>
            <w:pPr>
              <w:spacing w:before="20" w:after="20" w:line="254" w:lineRule="auto"/>
            </w:pPr>
            <w:r>
              <w:rPr>
                <w:rFonts w:ascii="Carlito" w:hAnsi="Carlito"/>
                <w:b w:val="0"/>
                <w:i w:val="0"/>
                <w:sz w:val="19"/>
              </w:rPr>
              <w:t>Chairs a decision to a documented conclusion including dissent; escalates on defined triggers without waiting for consensus</w:t>
            </w:r>
          </w:p>
        </w:tc>
      </w:tr>
      <w:tr>
        <w:tc>
          <w:tcPr>
            <w:tcW w:type="dxa" w:w="1498"/>
          </w:tcPr>
          <w:p>
            <w:pPr>
              <w:spacing w:before="20" w:after="20" w:line="254" w:lineRule="auto"/>
            </w:pPr>
            <w:r>
              <w:rPr>
                <w:rFonts w:ascii="Carlito" w:hAnsi="Carlito"/>
                <w:b w:val="0"/>
                <w:i w:val="0"/>
                <w:sz w:val="19"/>
              </w:rPr>
              <w:t>Ethics and accountability</w:t>
            </w:r>
          </w:p>
        </w:tc>
        <w:tc>
          <w:tcPr>
            <w:tcW w:type="dxa" w:w="2434"/>
          </w:tcPr>
          <w:p>
            <w:pPr>
              <w:spacing w:before="20" w:after="20" w:line="254" w:lineRule="auto"/>
            </w:pPr>
            <w:r>
              <w:rPr>
                <w:rFonts w:ascii="Carlito" w:hAnsi="Carlito"/>
                <w:b w:val="0"/>
                <w:i w:val="0"/>
                <w:sz w:val="19"/>
              </w:rPr>
              <w:t>States uncertainty in writing rather than omitting it</w:t>
            </w:r>
          </w:p>
        </w:tc>
        <w:tc>
          <w:tcPr>
            <w:tcW w:type="dxa" w:w="2714"/>
          </w:tcPr>
          <w:p>
            <w:pPr>
              <w:spacing w:before="20" w:after="20" w:line="254" w:lineRule="auto"/>
            </w:pPr>
            <w:r>
              <w:rPr>
                <w:rFonts w:ascii="Carlito" w:hAnsi="Carlito"/>
                <w:b w:val="0"/>
                <w:i w:val="0"/>
                <w:sz w:val="19"/>
              </w:rPr>
              <w:t>Documents an override of an automated output with the reasoning, not only the fact</w:t>
            </w:r>
          </w:p>
        </w:tc>
        <w:tc>
          <w:tcPr>
            <w:tcW w:type="dxa" w:w="2714"/>
          </w:tcPr>
          <w:p>
            <w:pPr>
              <w:spacing w:before="20" w:after="20" w:line="254" w:lineRule="auto"/>
            </w:pPr>
            <w:r>
              <w:rPr>
                <w:rFonts w:ascii="Carlito" w:hAnsi="Carlito"/>
                <w:b w:val="0"/>
                <w:i w:val="0"/>
                <w:sz w:val="19"/>
              </w:rPr>
              <w:t>Holds a decision against organizational pressure and leaves a record showing the criteria were fixed before the result was known</w:t>
            </w:r>
          </w:p>
        </w:tc>
      </w:tr>
    </w:tbl>
    <w:p>
      <w:pPr>
        <w:spacing w:after="40"/>
      </w:pPr>
    </w:p>
    <w:p>
      <w:pPr>
        <w:pStyle w:val="Heading1"/>
      </w:pPr>
      <w:r>
        <w:t>Self-assessment and plan</w:t>
      </w:r>
    </w:p>
    <w:p>
      <w:r>
        <w:t>One block per domain. Complete all five, including those where the honest entry is “none”.</w:t>
      </w:r>
    </w:p>
    <w:p>
      <w:pPr>
        <w:pStyle w:val="Heading2"/>
      </w:pPr>
      <w:r>
        <w:t>Clinical reasoning</w:t>
      </w:r>
    </w:p>
    <w:tbl>
      <w:tblPr>
        <w:tblStyle w:val="ToolkitTable"/>
        <w:tblW w:type="auto" w:w="0"/>
        <w:jc w:val="left"/>
        <w:tblLayout w:type="fixed"/>
        <w:tblLook w:val="04A0" w:firstRow="1" w:lastRow="0" w:firstColumn="0" w:lastColumn="0" w:noHBand="0" w:noVBand="1"/>
      </w:tblPr>
      <w:tblGrid>
        <w:gridCol w:w="2246"/>
        <w:gridCol w:w="7114"/>
      </w:tblGrid>
      <w:tr>
        <w:trPr>
          <w:tblHeader/>
        </w:trPr>
        <w:tc>
          <w:tcPr>
            <w:tcW w:type="dxa" w:w="2246"/>
          </w:tcPr>
          <w:p>
            <w:pPr>
              <w:spacing w:before="20" w:after="20" w:line="254" w:lineRule="auto"/>
            </w:pPr>
            <w:r>
              <w:rPr>
                <w:rFonts w:ascii="Carlito" w:hAnsi="Carlito"/>
                <w:b/>
                <w:i w:val="0"/>
                <w:color w:val="FFFFFF"/>
                <w:sz w:val="19"/>
              </w:rPr>
              <w:t>Field</w:t>
            </w:r>
          </w:p>
        </w:tc>
        <w:tc>
          <w:tcPr>
            <w:tcW w:type="dxa" w:w="7114"/>
          </w:tcPr>
          <w:p>
            <w:pPr>
              <w:spacing w:before="20" w:after="20" w:line="254" w:lineRule="auto"/>
            </w:pPr>
            <w:r>
              <w:rPr>
                <w:rFonts w:ascii="Carlito" w:hAnsi="Carlito"/>
                <w:b/>
                <w:i w:val="0"/>
                <w:color w:val="FFFFFF"/>
                <w:sz w:val="19"/>
              </w:rPr>
              <w:t>Entry</w:t>
            </w:r>
          </w:p>
        </w:tc>
      </w:tr>
      <w:tr>
        <w:tc>
          <w:tcPr>
            <w:tcW w:type="dxa" w:w="2246"/>
          </w:tcPr>
          <w:p>
            <w:pPr>
              <w:spacing w:before="20" w:after="20" w:line="254" w:lineRule="auto"/>
            </w:pPr>
            <w:r>
              <w:rPr>
                <w:rFonts w:ascii="Carlito" w:hAnsi="Carlito"/>
                <w:b w:val="0"/>
                <w:i w:val="0"/>
                <w:sz w:val="19"/>
              </w:rPr>
              <w:t>Current level</w:t>
            </w:r>
          </w:p>
        </w:tc>
        <w:tc>
          <w:tcPr>
            <w:tcW w:type="dxa" w:w="7114"/>
          </w:tcPr>
          <w:p>
            <w:pPr>
              <w:spacing w:before="20" w:after="20" w:line="254" w:lineRule="auto"/>
            </w:pPr>
          </w:p>
          <w:p>
            <w:pPr>
              <w:spacing w:before="20" w:after="20" w:line="254" w:lineRule="auto"/>
            </w:pPr>
            <w:r>
              <w:rPr>
                <w:rFonts w:ascii="Carlito" w:hAnsi="Carlito"/>
                <w:b w:val="0"/>
                <w:i/>
                <w:color w:val="4A5B63"/>
                <w:sz w:val="17"/>
              </w:rPr>
              <w:t>Beginner, independent practitioner, or signal lead — judged against the evidence column of the map, not against how long you have done the job.</w:t>
            </w:r>
          </w:p>
        </w:tc>
      </w:tr>
      <w:tr>
        <w:tc>
          <w:tcPr>
            <w:tcW w:type="dxa" w:w="2246"/>
          </w:tcPr>
          <w:p>
            <w:pPr>
              <w:spacing w:before="20" w:after="20" w:line="254" w:lineRule="auto"/>
            </w:pPr>
            <w:r>
              <w:rPr>
                <w:rFonts w:ascii="Carlito" w:hAnsi="Carlito"/>
                <w:b w:val="0"/>
                <w:i w:val="0"/>
                <w:sz w:val="19"/>
              </w:rPr>
              <w:t>Evidence, last 12 months</w:t>
            </w:r>
          </w:p>
        </w:tc>
        <w:tc>
          <w:tcPr>
            <w:tcW w:type="dxa" w:w="7114"/>
          </w:tcPr>
          <w:p>
            <w:pPr>
              <w:spacing w:before="20" w:after="20" w:line="254" w:lineRule="auto"/>
            </w:pPr>
          </w:p>
          <w:p>
            <w:pPr>
              <w:spacing w:before="20" w:after="20" w:line="254" w:lineRule="auto"/>
            </w:pPr>
            <w:r>
              <w:rPr>
                <w:rFonts w:ascii="Carlito" w:hAnsi="Carlito"/>
                <w:b w:val="0"/>
                <w:i/>
                <w:color w:val="4A5B63"/>
                <w:sz w:val="17"/>
              </w:rPr>
              <w:t>Named artifacts with dates. 'None' is a permitted and informative entry.</w:t>
            </w:r>
          </w:p>
        </w:tc>
      </w:tr>
      <w:tr>
        <w:tc>
          <w:tcPr>
            <w:tcW w:type="dxa" w:w="2246"/>
          </w:tcPr>
          <w:p>
            <w:pPr>
              <w:spacing w:before="20" w:after="20" w:line="254" w:lineRule="auto"/>
            </w:pPr>
            <w:r>
              <w:rPr>
                <w:rFonts w:ascii="Carlito" w:hAnsi="Carlito"/>
                <w:b w:val="0"/>
                <w:i w:val="0"/>
                <w:sz w:val="19"/>
              </w:rPr>
              <w:t>Gap to next level</w:t>
            </w:r>
          </w:p>
        </w:tc>
        <w:tc>
          <w:tcPr>
            <w:tcW w:type="dxa" w:w="7114"/>
          </w:tcPr>
          <w:p>
            <w:pPr>
              <w:spacing w:before="20" w:after="20" w:line="254" w:lineRule="auto"/>
            </w:pPr>
          </w:p>
          <w:p>
            <w:pPr>
              <w:spacing w:before="20" w:after="20" w:line="254" w:lineRule="auto"/>
            </w:pPr>
            <w:r>
              <w:rPr>
                <w:rFonts w:ascii="Carlito" w:hAnsi="Carlito"/>
                <w:b w:val="0"/>
                <w:i/>
                <w:color w:val="4A5B63"/>
                <w:sz w:val="17"/>
              </w:rPr>
              <w:t>The specific capability absent, stated as a behavior, not an adjective. 'I have never written a case definition others adjudicated against' beats 'need to improve'.</w:t>
            </w:r>
          </w:p>
        </w:tc>
      </w:tr>
      <w:tr>
        <w:tc>
          <w:tcPr>
            <w:tcW w:type="dxa" w:w="2246"/>
          </w:tcPr>
          <w:p>
            <w:pPr>
              <w:spacing w:before="20" w:after="20" w:line="254" w:lineRule="auto"/>
            </w:pPr>
            <w:r>
              <w:rPr>
                <w:rFonts w:ascii="Carlito" w:hAnsi="Carlito"/>
                <w:b w:val="0"/>
                <w:i w:val="0"/>
                <w:sz w:val="19"/>
              </w:rPr>
              <w:t>Action</w:t>
            </w:r>
          </w:p>
        </w:tc>
        <w:tc>
          <w:tcPr>
            <w:tcW w:type="dxa" w:w="7114"/>
          </w:tcPr>
          <w:p>
            <w:pPr>
              <w:spacing w:before="20" w:after="20" w:line="254" w:lineRule="auto"/>
            </w:pPr>
          </w:p>
          <w:p>
            <w:pPr>
              <w:spacing w:before="20" w:after="20" w:line="254" w:lineRule="auto"/>
            </w:pPr>
            <w:r>
              <w:rPr>
                <w:rFonts w:ascii="Carlito" w:hAnsi="Carlito"/>
                <w:b w:val="0"/>
                <w:i/>
                <w:color w:val="4A5B63"/>
                <w:sz w:val="17"/>
              </w:rPr>
              <w:t>What will be done, on what work, by when. Attach it to work you will do anyway.</w:t>
            </w:r>
          </w:p>
        </w:tc>
      </w:tr>
      <w:tr>
        <w:tc>
          <w:tcPr>
            <w:tcW w:type="dxa" w:w="2246"/>
          </w:tcPr>
          <w:p>
            <w:pPr>
              <w:spacing w:before="20" w:after="20" w:line="254" w:lineRule="auto"/>
            </w:pPr>
            <w:r>
              <w:rPr>
                <w:rFonts w:ascii="Carlito" w:hAnsi="Carlito"/>
                <w:b w:val="0"/>
                <w:i w:val="0"/>
                <w:sz w:val="19"/>
              </w:rPr>
              <w:t>Evidence of progress</w:t>
            </w:r>
          </w:p>
        </w:tc>
        <w:tc>
          <w:tcPr>
            <w:tcW w:type="dxa" w:w="7114"/>
          </w:tcPr>
          <w:p>
            <w:pPr>
              <w:spacing w:before="20" w:after="20" w:line="254" w:lineRule="auto"/>
            </w:pPr>
          </w:p>
          <w:p>
            <w:pPr>
              <w:spacing w:before="20" w:after="20" w:line="254" w:lineRule="auto"/>
            </w:pPr>
            <w:r>
              <w:rPr>
                <w:rFonts w:ascii="Carlito" w:hAnsi="Carlito"/>
                <w:b w:val="0"/>
                <w:i/>
                <w:color w:val="4A5B63"/>
                <w:sz w:val="17"/>
              </w:rPr>
              <w:t>The artifact that will exist next year if the action succeeded.</w:t>
            </w:r>
          </w:p>
        </w:tc>
      </w:tr>
    </w:tbl>
    <w:p>
      <w:pPr>
        <w:spacing w:after="40"/>
      </w:pPr>
    </w:p>
    <w:p>
      <w:pPr>
        <w:pStyle w:val="Heading2"/>
      </w:pPr>
      <w:r>
        <w:t>Quantitative literacy</w:t>
      </w:r>
    </w:p>
    <w:tbl>
      <w:tblPr>
        <w:tblStyle w:val="ToolkitTable"/>
        <w:tblW w:type="auto" w:w="0"/>
        <w:jc w:val="left"/>
        <w:tblLayout w:type="fixed"/>
        <w:tblLook w:val="04A0" w:firstRow="1" w:lastRow="0" w:firstColumn="0" w:lastColumn="0" w:noHBand="0" w:noVBand="1"/>
      </w:tblPr>
      <w:tblGrid>
        <w:gridCol w:w="2246"/>
        <w:gridCol w:w="7114"/>
      </w:tblGrid>
      <w:tr>
        <w:trPr>
          <w:tblHeader/>
        </w:trPr>
        <w:tc>
          <w:tcPr>
            <w:tcW w:type="dxa" w:w="2246"/>
          </w:tcPr>
          <w:p>
            <w:pPr>
              <w:spacing w:before="20" w:after="20" w:line="254" w:lineRule="auto"/>
            </w:pPr>
            <w:r>
              <w:rPr>
                <w:rFonts w:ascii="Carlito" w:hAnsi="Carlito"/>
                <w:b/>
                <w:i w:val="0"/>
                <w:color w:val="FFFFFF"/>
                <w:sz w:val="19"/>
              </w:rPr>
              <w:t>Field</w:t>
            </w:r>
          </w:p>
        </w:tc>
        <w:tc>
          <w:tcPr>
            <w:tcW w:type="dxa" w:w="7114"/>
          </w:tcPr>
          <w:p>
            <w:pPr>
              <w:spacing w:before="20" w:after="20" w:line="254" w:lineRule="auto"/>
            </w:pPr>
            <w:r>
              <w:rPr>
                <w:rFonts w:ascii="Carlito" w:hAnsi="Carlito"/>
                <w:b/>
                <w:i w:val="0"/>
                <w:color w:val="FFFFFF"/>
                <w:sz w:val="19"/>
              </w:rPr>
              <w:t>Entry</w:t>
            </w:r>
          </w:p>
        </w:tc>
      </w:tr>
      <w:tr>
        <w:tc>
          <w:tcPr>
            <w:tcW w:type="dxa" w:w="2246"/>
          </w:tcPr>
          <w:p>
            <w:pPr>
              <w:spacing w:before="20" w:after="20" w:line="254" w:lineRule="auto"/>
            </w:pPr>
            <w:r>
              <w:rPr>
                <w:rFonts w:ascii="Carlito" w:hAnsi="Carlito"/>
                <w:b w:val="0"/>
                <w:i w:val="0"/>
                <w:sz w:val="19"/>
              </w:rPr>
              <w:t>Current level</w:t>
            </w:r>
          </w:p>
        </w:tc>
        <w:tc>
          <w:tcPr>
            <w:tcW w:type="dxa" w:w="7114"/>
          </w:tcPr>
          <w:p>
            <w:pPr>
              <w:spacing w:before="20" w:after="20" w:line="254" w:lineRule="auto"/>
            </w:pPr>
          </w:p>
          <w:p>
            <w:pPr>
              <w:spacing w:before="20" w:after="20" w:line="254" w:lineRule="auto"/>
            </w:pPr>
            <w:r>
              <w:rPr>
                <w:rFonts w:ascii="Carlito" w:hAnsi="Carlito"/>
                <w:b w:val="0"/>
                <w:i/>
                <w:color w:val="4A5B63"/>
                <w:sz w:val="17"/>
              </w:rPr>
              <w:t>Beginner, independent practitioner, or signal lead — judged against the evidence column of the map, not against how long you have done the job.</w:t>
            </w:r>
          </w:p>
        </w:tc>
      </w:tr>
      <w:tr>
        <w:tc>
          <w:tcPr>
            <w:tcW w:type="dxa" w:w="2246"/>
          </w:tcPr>
          <w:p>
            <w:pPr>
              <w:spacing w:before="20" w:after="20" w:line="254" w:lineRule="auto"/>
            </w:pPr>
            <w:r>
              <w:rPr>
                <w:rFonts w:ascii="Carlito" w:hAnsi="Carlito"/>
                <w:b w:val="0"/>
                <w:i w:val="0"/>
                <w:sz w:val="19"/>
              </w:rPr>
              <w:t>Evidence, last 12 months</w:t>
            </w:r>
          </w:p>
        </w:tc>
        <w:tc>
          <w:tcPr>
            <w:tcW w:type="dxa" w:w="7114"/>
          </w:tcPr>
          <w:p>
            <w:pPr>
              <w:spacing w:before="20" w:after="20" w:line="254" w:lineRule="auto"/>
            </w:pPr>
          </w:p>
          <w:p>
            <w:pPr>
              <w:spacing w:before="20" w:after="20" w:line="254" w:lineRule="auto"/>
            </w:pPr>
            <w:r>
              <w:rPr>
                <w:rFonts w:ascii="Carlito" w:hAnsi="Carlito"/>
                <w:b w:val="0"/>
                <w:i/>
                <w:color w:val="4A5B63"/>
                <w:sz w:val="17"/>
              </w:rPr>
              <w:t>Named artifacts with dates. 'None' is a permitted and informative entry.</w:t>
            </w:r>
          </w:p>
        </w:tc>
      </w:tr>
      <w:tr>
        <w:tc>
          <w:tcPr>
            <w:tcW w:type="dxa" w:w="2246"/>
          </w:tcPr>
          <w:p>
            <w:pPr>
              <w:spacing w:before="20" w:after="20" w:line="254" w:lineRule="auto"/>
            </w:pPr>
            <w:r>
              <w:rPr>
                <w:rFonts w:ascii="Carlito" w:hAnsi="Carlito"/>
                <w:b w:val="0"/>
                <w:i w:val="0"/>
                <w:sz w:val="19"/>
              </w:rPr>
              <w:t>Gap to next level</w:t>
            </w:r>
          </w:p>
        </w:tc>
        <w:tc>
          <w:tcPr>
            <w:tcW w:type="dxa" w:w="7114"/>
          </w:tcPr>
          <w:p>
            <w:pPr>
              <w:spacing w:before="20" w:after="20" w:line="254" w:lineRule="auto"/>
            </w:pPr>
          </w:p>
          <w:p>
            <w:pPr>
              <w:spacing w:before="20" w:after="20" w:line="254" w:lineRule="auto"/>
            </w:pPr>
            <w:r>
              <w:rPr>
                <w:rFonts w:ascii="Carlito" w:hAnsi="Carlito"/>
                <w:b w:val="0"/>
                <w:i/>
                <w:color w:val="4A5B63"/>
                <w:sz w:val="17"/>
              </w:rPr>
              <w:t>The specific capability absent, stated as a behavior, not an adjective. 'I have never written a case definition others adjudicated against' beats 'need to improve'.</w:t>
            </w:r>
          </w:p>
        </w:tc>
      </w:tr>
      <w:tr>
        <w:tc>
          <w:tcPr>
            <w:tcW w:type="dxa" w:w="2246"/>
          </w:tcPr>
          <w:p>
            <w:pPr>
              <w:spacing w:before="20" w:after="20" w:line="254" w:lineRule="auto"/>
            </w:pPr>
            <w:r>
              <w:rPr>
                <w:rFonts w:ascii="Carlito" w:hAnsi="Carlito"/>
                <w:b w:val="0"/>
                <w:i w:val="0"/>
                <w:sz w:val="19"/>
              </w:rPr>
              <w:t>Action</w:t>
            </w:r>
          </w:p>
        </w:tc>
        <w:tc>
          <w:tcPr>
            <w:tcW w:type="dxa" w:w="7114"/>
          </w:tcPr>
          <w:p>
            <w:pPr>
              <w:spacing w:before="20" w:after="20" w:line="254" w:lineRule="auto"/>
            </w:pPr>
          </w:p>
          <w:p>
            <w:pPr>
              <w:spacing w:before="20" w:after="20" w:line="254" w:lineRule="auto"/>
            </w:pPr>
            <w:r>
              <w:rPr>
                <w:rFonts w:ascii="Carlito" w:hAnsi="Carlito"/>
                <w:b w:val="0"/>
                <w:i/>
                <w:color w:val="4A5B63"/>
                <w:sz w:val="17"/>
              </w:rPr>
              <w:t>What will be done, on what work, by when. Attach it to work you will do anyway.</w:t>
            </w:r>
          </w:p>
        </w:tc>
      </w:tr>
      <w:tr>
        <w:tc>
          <w:tcPr>
            <w:tcW w:type="dxa" w:w="2246"/>
          </w:tcPr>
          <w:p>
            <w:pPr>
              <w:spacing w:before="20" w:after="20" w:line="254" w:lineRule="auto"/>
            </w:pPr>
            <w:r>
              <w:rPr>
                <w:rFonts w:ascii="Carlito" w:hAnsi="Carlito"/>
                <w:b w:val="0"/>
                <w:i w:val="0"/>
                <w:sz w:val="19"/>
              </w:rPr>
              <w:t>Evidence of progress</w:t>
            </w:r>
          </w:p>
        </w:tc>
        <w:tc>
          <w:tcPr>
            <w:tcW w:type="dxa" w:w="7114"/>
          </w:tcPr>
          <w:p>
            <w:pPr>
              <w:spacing w:before="20" w:after="20" w:line="254" w:lineRule="auto"/>
            </w:pPr>
          </w:p>
          <w:p>
            <w:pPr>
              <w:spacing w:before="20" w:after="20" w:line="254" w:lineRule="auto"/>
            </w:pPr>
            <w:r>
              <w:rPr>
                <w:rFonts w:ascii="Carlito" w:hAnsi="Carlito"/>
                <w:b w:val="0"/>
                <w:i/>
                <w:color w:val="4A5B63"/>
                <w:sz w:val="17"/>
              </w:rPr>
              <w:t>The artifact that will exist next year if the action succeeded.</w:t>
            </w:r>
          </w:p>
        </w:tc>
      </w:tr>
    </w:tbl>
    <w:p>
      <w:pPr>
        <w:spacing w:after="40"/>
      </w:pPr>
    </w:p>
    <w:p>
      <w:pPr>
        <w:pStyle w:val="Heading2"/>
      </w:pPr>
      <w:r>
        <w:t>Regulatory judgment</w:t>
      </w:r>
    </w:p>
    <w:tbl>
      <w:tblPr>
        <w:tblStyle w:val="ToolkitTable"/>
        <w:tblW w:type="auto" w:w="0"/>
        <w:jc w:val="left"/>
        <w:tblLayout w:type="fixed"/>
        <w:tblLook w:val="04A0" w:firstRow="1" w:lastRow="0" w:firstColumn="0" w:lastColumn="0" w:noHBand="0" w:noVBand="1"/>
      </w:tblPr>
      <w:tblGrid>
        <w:gridCol w:w="2246"/>
        <w:gridCol w:w="7114"/>
      </w:tblGrid>
      <w:tr>
        <w:trPr>
          <w:tblHeader/>
        </w:trPr>
        <w:tc>
          <w:tcPr>
            <w:tcW w:type="dxa" w:w="2246"/>
          </w:tcPr>
          <w:p>
            <w:pPr>
              <w:spacing w:before="20" w:after="20" w:line="254" w:lineRule="auto"/>
            </w:pPr>
            <w:r>
              <w:rPr>
                <w:rFonts w:ascii="Carlito" w:hAnsi="Carlito"/>
                <w:b/>
                <w:i w:val="0"/>
                <w:color w:val="FFFFFF"/>
                <w:sz w:val="19"/>
              </w:rPr>
              <w:t>Field</w:t>
            </w:r>
          </w:p>
        </w:tc>
        <w:tc>
          <w:tcPr>
            <w:tcW w:type="dxa" w:w="7114"/>
          </w:tcPr>
          <w:p>
            <w:pPr>
              <w:spacing w:before="20" w:after="20" w:line="254" w:lineRule="auto"/>
            </w:pPr>
            <w:r>
              <w:rPr>
                <w:rFonts w:ascii="Carlito" w:hAnsi="Carlito"/>
                <w:b/>
                <w:i w:val="0"/>
                <w:color w:val="FFFFFF"/>
                <w:sz w:val="19"/>
              </w:rPr>
              <w:t>Entry</w:t>
            </w:r>
          </w:p>
        </w:tc>
      </w:tr>
      <w:tr>
        <w:tc>
          <w:tcPr>
            <w:tcW w:type="dxa" w:w="2246"/>
          </w:tcPr>
          <w:p>
            <w:pPr>
              <w:spacing w:before="20" w:after="20" w:line="254" w:lineRule="auto"/>
            </w:pPr>
            <w:r>
              <w:rPr>
                <w:rFonts w:ascii="Carlito" w:hAnsi="Carlito"/>
                <w:b w:val="0"/>
                <w:i w:val="0"/>
                <w:sz w:val="19"/>
              </w:rPr>
              <w:t>Current level</w:t>
            </w:r>
          </w:p>
        </w:tc>
        <w:tc>
          <w:tcPr>
            <w:tcW w:type="dxa" w:w="7114"/>
          </w:tcPr>
          <w:p>
            <w:pPr>
              <w:spacing w:before="20" w:after="20" w:line="254" w:lineRule="auto"/>
            </w:pPr>
          </w:p>
          <w:p>
            <w:pPr>
              <w:spacing w:before="20" w:after="20" w:line="254" w:lineRule="auto"/>
            </w:pPr>
            <w:r>
              <w:rPr>
                <w:rFonts w:ascii="Carlito" w:hAnsi="Carlito"/>
                <w:b w:val="0"/>
                <w:i/>
                <w:color w:val="4A5B63"/>
                <w:sz w:val="17"/>
              </w:rPr>
              <w:t>Beginner, independent practitioner, or signal lead — judged against the evidence column of the map, not against how long you have done the job.</w:t>
            </w:r>
          </w:p>
        </w:tc>
      </w:tr>
      <w:tr>
        <w:tc>
          <w:tcPr>
            <w:tcW w:type="dxa" w:w="2246"/>
          </w:tcPr>
          <w:p>
            <w:pPr>
              <w:spacing w:before="20" w:after="20" w:line="254" w:lineRule="auto"/>
            </w:pPr>
            <w:r>
              <w:rPr>
                <w:rFonts w:ascii="Carlito" w:hAnsi="Carlito"/>
                <w:b w:val="0"/>
                <w:i w:val="0"/>
                <w:sz w:val="19"/>
              </w:rPr>
              <w:t>Evidence, last 12 months</w:t>
            </w:r>
          </w:p>
        </w:tc>
        <w:tc>
          <w:tcPr>
            <w:tcW w:type="dxa" w:w="7114"/>
          </w:tcPr>
          <w:p>
            <w:pPr>
              <w:spacing w:before="20" w:after="20" w:line="254" w:lineRule="auto"/>
            </w:pPr>
          </w:p>
          <w:p>
            <w:pPr>
              <w:spacing w:before="20" w:after="20" w:line="254" w:lineRule="auto"/>
            </w:pPr>
            <w:r>
              <w:rPr>
                <w:rFonts w:ascii="Carlito" w:hAnsi="Carlito"/>
                <w:b w:val="0"/>
                <w:i/>
                <w:color w:val="4A5B63"/>
                <w:sz w:val="17"/>
              </w:rPr>
              <w:t>Named artifacts with dates. 'None' is a permitted and informative entry.</w:t>
            </w:r>
          </w:p>
        </w:tc>
      </w:tr>
      <w:tr>
        <w:tc>
          <w:tcPr>
            <w:tcW w:type="dxa" w:w="2246"/>
          </w:tcPr>
          <w:p>
            <w:pPr>
              <w:spacing w:before="20" w:after="20" w:line="254" w:lineRule="auto"/>
            </w:pPr>
            <w:r>
              <w:rPr>
                <w:rFonts w:ascii="Carlito" w:hAnsi="Carlito"/>
                <w:b w:val="0"/>
                <w:i w:val="0"/>
                <w:sz w:val="19"/>
              </w:rPr>
              <w:t>Gap to next level</w:t>
            </w:r>
          </w:p>
        </w:tc>
        <w:tc>
          <w:tcPr>
            <w:tcW w:type="dxa" w:w="7114"/>
          </w:tcPr>
          <w:p>
            <w:pPr>
              <w:spacing w:before="20" w:after="20" w:line="254" w:lineRule="auto"/>
            </w:pPr>
          </w:p>
          <w:p>
            <w:pPr>
              <w:spacing w:before="20" w:after="20" w:line="254" w:lineRule="auto"/>
            </w:pPr>
            <w:r>
              <w:rPr>
                <w:rFonts w:ascii="Carlito" w:hAnsi="Carlito"/>
                <w:b w:val="0"/>
                <w:i/>
                <w:color w:val="4A5B63"/>
                <w:sz w:val="17"/>
              </w:rPr>
              <w:t>The specific capability absent, stated as a behavior, not an adjective. 'I have never written a case definition others adjudicated against' beats 'need to improve'.</w:t>
            </w:r>
          </w:p>
        </w:tc>
      </w:tr>
      <w:tr>
        <w:tc>
          <w:tcPr>
            <w:tcW w:type="dxa" w:w="2246"/>
          </w:tcPr>
          <w:p>
            <w:pPr>
              <w:spacing w:before="20" w:after="20" w:line="254" w:lineRule="auto"/>
            </w:pPr>
            <w:r>
              <w:rPr>
                <w:rFonts w:ascii="Carlito" w:hAnsi="Carlito"/>
                <w:b w:val="0"/>
                <w:i w:val="0"/>
                <w:sz w:val="19"/>
              </w:rPr>
              <w:t>Action</w:t>
            </w:r>
          </w:p>
        </w:tc>
        <w:tc>
          <w:tcPr>
            <w:tcW w:type="dxa" w:w="7114"/>
          </w:tcPr>
          <w:p>
            <w:pPr>
              <w:spacing w:before="20" w:after="20" w:line="254" w:lineRule="auto"/>
            </w:pPr>
          </w:p>
          <w:p>
            <w:pPr>
              <w:spacing w:before="20" w:after="20" w:line="254" w:lineRule="auto"/>
            </w:pPr>
            <w:r>
              <w:rPr>
                <w:rFonts w:ascii="Carlito" w:hAnsi="Carlito"/>
                <w:b w:val="0"/>
                <w:i/>
                <w:color w:val="4A5B63"/>
                <w:sz w:val="17"/>
              </w:rPr>
              <w:t>What will be done, on what work, by when. Attach it to work you will do anyway.</w:t>
            </w:r>
          </w:p>
        </w:tc>
      </w:tr>
      <w:tr>
        <w:tc>
          <w:tcPr>
            <w:tcW w:type="dxa" w:w="2246"/>
          </w:tcPr>
          <w:p>
            <w:pPr>
              <w:spacing w:before="20" w:after="20" w:line="254" w:lineRule="auto"/>
            </w:pPr>
            <w:r>
              <w:rPr>
                <w:rFonts w:ascii="Carlito" w:hAnsi="Carlito"/>
                <w:b w:val="0"/>
                <w:i w:val="0"/>
                <w:sz w:val="19"/>
              </w:rPr>
              <w:t>Evidence of progress</w:t>
            </w:r>
          </w:p>
        </w:tc>
        <w:tc>
          <w:tcPr>
            <w:tcW w:type="dxa" w:w="7114"/>
          </w:tcPr>
          <w:p>
            <w:pPr>
              <w:spacing w:before="20" w:after="20" w:line="254" w:lineRule="auto"/>
            </w:pPr>
          </w:p>
          <w:p>
            <w:pPr>
              <w:spacing w:before="20" w:after="20" w:line="254" w:lineRule="auto"/>
            </w:pPr>
            <w:r>
              <w:rPr>
                <w:rFonts w:ascii="Carlito" w:hAnsi="Carlito"/>
                <w:b w:val="0"/>
                <w:i/>
                <w:color w:val="4A5B63"/>
                <w:sz w:val="17"/>
              </w:rPr>
              <w:t>The artifact that will exist next year if the action succeeded.</w:t>
            </w:r>
          </w:p>
        </w:tc>
      </w:tr>
    </w:tbl>
    <w:p>
      <w:pPr>
        <w:spacing w:after="40"/>
      </w:pPr>
    </w:p>
    <w:p>
      <w:pPr>
        <w:pStyle w:val="Heading2"/>
      </w:pPr>
      <w:r>
        <w:t>Collaboration</w:t>
      </w:r>
    </w:p>
    <w:tbl>
      <w:tblPr>
        <w:tblStyle w:val="ToolkitTable"/>
        <w:tblW w:type="auto" w:w="0"/>
        <w:jc w:val="left"/>
        <w:tblLayout w:type="fixed"/>
        <w:tblLook w:val="04A0" w:firstRow="1" w:lastRow="0" w:firstColumn="0" w:lastColumn="0" w:noHBand="0" w:noVBand="1"/>
      </w:tblPr>
      <w:tblGrid>
        <w:gridCol w:w="2246"/>
        <w:gridCol w:w="7114"/>
      </w:tblGrid>
      <w:tr>
        <w:trPr>
          <w:tblHeader/>
        </w:trPr>
        <w:tc>
          <w:tcPr>
            <w:tcW w:type="dxa" w:w="2246"/>
          </w:tcPr>
          <w:p>
            <w:pPr>
              <w:spacing w:before="20" w:after="20" w:line="254" w:lineRule="auto"/>
            </w:pPr>
            <w:r>
              <w:rPr>
                <w:rFonts w:ascii="Carlito" w:hAnsi="Carlito"/>
                <w:b/>
                <w:i w:val="0"/>
                <w:color w:val="FFFFFF"/>
                <w:sz w:val="19"/>
              </w:rPr>
              <w:t>Field</w:t>
            </w:r>
          </w:p>
        </w:tc>
        <w:tc>
          <w:tcPr>
            <w:tcW w:type="dxa" w:w="7114"/>
          </w:tcPr>
          <w:p>
            <w:pPr>
              <w:spacing w:before="20" w:after="20" w:line="254" w:lineRule="auto"/>
            </w:pPr>
            <w:r>
              <w:rPr>
                <w:rFonts w:ascii="Carlito" w:hAnsi="Carlito"/>
                <w:b/>
                <w:i w:val="0"/>
                <w:color w:val="FFFFFF"/>
                <w:sz w:val="19"/>
              </w:rPr>
              <w:t>Entry</w:t>
            </w:r>
          </w:p>
        </w:tc>
      </w:tr>
      <w:tr>
        <w:tc>
          <w:tcPr>
            <w:tcW w:type="dxa" w:w="2246"/>
          </w:tcPr>
          <w:p>
            <w:pPr>
              <w:spacing w:before="20" w:after="20" w:line="254" w:lineRule="auto"/>
            </w:pPr>
            <w:r>
              <w:rPr>
                <w:rFonts w:ascii="Carlito" w:hAnsi="Carlito"/>
                <w:b w:val="0"/>
                <w:i w:val="0"/>
                <w:sz w:val="19"/>
              </w:rPr>
              <w:t>Current level</w:t>
            </w:r>
          </w:p>
        </w:tc>
        <w:tc>
          <w:tcPr>
            <w:tcW w:type="dxa" w:w="7114"/>
          </w:tcPr>
          <w:p>
            <w:pPr>
              <w:spacing w:before="20" w:after="20" w:line="254" w:lineRule="auto"/>
            </w:pPr>
          </w:p>
          <w:p>
            <w:pPr>
              <w:spacing w:before="20" w:after="20" w:line="254" w:lineRule="auto"/>
            </w:pPr>
            <w:r>
              <w:rPr>
                <w:rFonts w:ascii="Carlito" w:hAnsi="Carlito"/>
                <w:b w:val="0"/>
                <w:i/>
                <w:color w:val="4A5B63"/>
                <w:sz w:val="17"/>
              </w:rPr>
              <w:t>Beginner, independent practitioner, or signal lead — judged against the evidence column of the map, not against how long you have done the job.</w:t>
            </w:r>
          </w:p>
        </w:tc>
      </w:tr>
      <w:tr>
        <w:tc>
          <w:tcPr>
            <w:tcW w:type="dxa" w:w="2246"/>
          </w:tcPr>
          <w:p>
            <w:pPr>
              <w:spacing w:before="20" w:after="20" w:line="254" w:lineRule="auto"/>
            </w:pPr>
            <w:r>
              <w:rPr>
                <w:rFonts w:ascii="Carlito" w:hAnsi="Carlito"/>
                <w:b w:val="0"/>
                <w:i w:val="0"/>
                <w:sz w:val="19"/>
              </w:rPr>
              <w:t>Evidence, last 12 months</w:t>
            </w:r>
          </w:p>
        </w:tc>
        <w:tc>
          <w:tcPr>
            <w:tcW w:type="dxa" w:w="7114"/>
          </w:tcPr>
          <w:p>
            <w:pPr>
              <w:spacing w:before="20" w:after="20" w:line="254" w:lineRule="auto"/>
            </w:pPr>
          </w:p>
          <w:p>
            <w:pPr>
              <w:spacing w:before="20" w:after="20" w:line="254" w:lineRule="auto"/>
            </w:pPr>
            <w:r>
              <w:rPr>
                <w:rFonts w:ascii="Carlito" w:hAnsi="Carlito"/>
                <w:b w:val="0"/>
                <w:i/>
                <w:color w:val="4A5B63"/>
                <w:sz w:val="17"/>
              </w:rPr>
              <w:t>Named artifacts with dates. 'None' is a permitted and informative entry.</w:t>
            </w:r>
          </w:p>
        </w:tc>
      </w:tr>
      <w:tr>
        <w:tc>
          <w:tcPr>
            <w:tcW w:type="dxa" w:w="2246"/>
          </w:tcPr>
          <w:p>
            <w:pPr>
              <w:spacing w:before="20" w:after="20" w:line="254" w:lineRule="auto"/>
            </w:pPr>
            <w:r>
              <w:rPr>
                <w:rFonts w:ascii="Carlito" w:hAnsi="Carlito"/>
                <w:b w:val="0"/>
                <w:i w:val="0"/>
                <w:sz w:val="19"/>
              </w:rPr>
              <w:t>Gap to next level</w:t>
            </w:r>
          </w:p>
        </w:tc>
        <w:tc>
          <w:tcPr>
            <w:tcW w:type="dxa" w:w="7114"/>
          </w:tcPr>
          <w:p>
            <w:pPr>
              <w:spacing w:before="20" w:after="20" w:line="254" w:lineRule="auto"/>
            </w:pPr>
          </w:p>
          <w:p>
            <w:pPr>
              <w:spacing w:before="20" w:after="20" w:line="254" w:lineRule="auto"/>
            </w:pPr>
            <w:r>
              <w:rPr>
                <w:rFonts w:ascii="Carlito" w:hAnsi="Carlito"/>
                <w:b w:val="0"/>
                <w:i/>
                <w:color w:val="4A5B63"/>
                <w:sz w:val="17"/>
              </w:rPr>
              <w:t>The specific capability absent, stated as a behavior, not an adjective. 'I have never written a case definition others adjudicated against' beats 'need to improve'.</w:t>
            </w:r>
          </w:p>
        </w:tc>
      </w:tr>
      <w:tr>
        <w:tc>
          <w:tcPr>
            <w:tcW w:type="dxa" w:w="2246"/>
          </w:tcPr>
          <w:p>
            <w:pPr>
              <w:spacing w:before="20" w:after="20" w:line="254" w:lineRule="auto"/>
            </w:pPr>
            <w:r>
              <w:rPr>
                <w:rFonts w:ascii="Carlito" w:hAnsi="Carlito"/>
                <w:b w:val="0"/>
                <w:i w:val="0"/>
                <w:sz w:val="19"/>
              </w:rPr>
              <w:t>Action</w:t>
            </w:r>
          </w:p>
        </w:tc>
        <w:tc>
          <w:tcPr>
            <w:tcW w:type="dxa" w:w="7114"/>
          </w:tcPr>
          <w:p>
            <w:pPr>
              <w:spacing w:before="20" w:after="20" w:line="254" w:lineRule="auto"/>
            </w:pPr>
          </w:p>
          <w:p>
            <w:pPr>
              <w:spacing w:before="20" w:after="20" w:line="254" w:lineRule="auto"/>
            </w:pPr>
            <w:r>
              <w:rPr>
                <w:rFonts w:ascii="Carlito" w:hAnsi="Carlito"/>
                <w:b w:val="0"/>
                <w:i/>
                <w:color w:val="4A5B63"/>
                <w:sz w:val="17"/>
              </w:rPr>
              <w:t>What will be done, on what work, by when. Attach it to work you will do anyway.</w:t>
            </w:r>
          </w:p>
        </w:tc>
      </w:tr>
      <w:tr>
        <w:tc>
          <w:tcPr>
            <w:tcW w:type="dxa" w:w="2246"/>
          </w:tcPr>
          <w:p>
            <w:pPr>
              <w:spacing w:before="20" w:after="20" w:line="254" w:lineRule="auto"/>
            </w:pPr>
            <w:r>
              <w:rPr>
                <w:rFonts w:ascii="Carlito" w:hAnsi="Carlito"/>
                <w:b w:val="0"/>
                <w:i w:val="0"/>
                <w:sz w:val="19"/>
              </w:rPr>
              <w:t>Evidence of progress</w:t>
            </w:r>
          </w:p>
        </w:tc>
        <w:tc>
          <w:tcPr>
            <w:tcW w:type="dxa" w:w="7114"/>
          </w:tcPr>
          <w:p>
            <w:pPr>
              <w:spacing w:before="20" w:after="20" w:line="254" w:lineRule="auto"/>
            </w:pPr>
          </w:p>
          <w:p>
            <w:pPr>
              <w:spacing w:before="20" w:after="20" w:line="254" w:lineRule="auto"/>
            </w:pPr>
            <w:r>
              <w:rPr>
                <w:rFonts w:ascii="Carlito" w:hAnsi="Carlito"/>
                <w:b w:val="0"/>
                <w:i/>
                <w:color w:val="4A5B63"/>
                <w:sz w:val="17"/>
              </w:rPr>
              <w:t>The artifact that will exist next year if the action succeeded.</w:t>
            </w:r>
          </w:p>
        </w:tc>
      </w:tr>
    </w:tbl>
    <w:p>
      <w:pPr>
        <w:spacing w:after="40"/>
      </w:pPr>
    </w:p>
    <w:p>
      <w:pPr>
        <w:pStyle w:val="Heading2"/>
      </w:pPr>
      <w:r>
        <w:t>Ethics and accountability</w:t>
      </w:r>
    </w:p>
    <w:tbl>
      <w:tblPr>
        <w:tblStyle w:val="ToolkitTable"/>
        <w:tblW w:type="auto" w:w="0"/>
        <w:jc w:val="left"/>
        <w:tblLayout w:type="fixed"/>
        <w:tblLook w:val="04A0" w:firstRow="1" w:lastRow="0" w:firstColumn="0" w:lastColumn="0" w:noHBand="0" w:noVBand="1"/>
      </w:tblPr>
      <w:tblGrid>
        <w:gridCol w:w="2246"/>
        <w:gridCol w:w="7114"/>
      </w:tblGrid>
      <w:tr>
        <w:trPr>
          <w:tblHeader/>
        </w:trPr>
        <w:tc>
          <w:tcPr>
            <w:tcW w:type="dxa" w:w="2246"/>
          </w:tcPr>
          <w:p>
            <w:pPr>
              <w:spacing w:before="20" w:after="20" w:line="254" w:lineRule="auto"/>
            </w:pPr>
            <w:r>
              <w:rPr>
                <w:rFonts w:ascii="Carlito" w:hAnsi="Carlito"/>
                <w:b/>
                <w:i w:val="0"/>
                <w:color w:val="FFFFFF"/>
                <w:sz w:val="19"/>
              </w:rPr>
              <w:t>Field</w:t>
            </w:r>
          </w:p>
        </w:tc>
        <w:tc>
          <w:tcPr>
            <w:tcW w:type="dxa" w:w="7114"/>
          </w:tcPr>
          <w:p>
            <w:pPr>
              <w:spacing w:before="20" w:after="20" w:line="254" w:lineRule="auto"/>
            </w:pPr>
            <w:r>
              <w:rPr>
                <w:rFonts w:ascii="Carlito" w:hAnsi="Carlito"/>
                <w:b/>
                <w:i w:val="0"/>
                <w:color w:val="FFFFFF"/>
                <w:sz w:val="19"/>
              </w:rPr>
              <w:t>Entry</w:t>
            </w:r>
          </w:p>
        </w:tc>
      </w:tr>
      <w:tr>
        <w:tc>
          <w:tcPr>
            <w:tcW w:type="dxa" w:w="2246"/>
          </w:tcPr>
          <w:p>
            <w:pPr>
              <w:spacing w:before="20" w:after="20" w:line="254" w:lineRule="auto"/>
            </w:pPr>
            <w:r>
              <w:rPr>
                <w:rFonts w:ascii="Carlito" w:hAnsi="Carlito"/>
                <w:b w:val="0"/>
                <w:i w:val="0"/>
                <w:sz w:val="19"/>
              </w:rPr>
              <w:t>Current level</w:t>
            </w:r>
          </w:p>
        </w:tc>
        <w:tc>
          <w:tcPr>
            <w:tcW w:type="dxa" w:w="7114"/>
          </w:tcPr>
          <w:p>
            <w:pPr>
              <w:spacing w:before="20" w:after="20" w:line="254" w:lineRule="auto"/>
            </w:pPr>
          </w:p>
          <w:p>
            <w:pPr>
              <w:spacing w:before="20" w:after="20" w:line="254" w:lineRule="auto"/>
            </w:pPr>
            <w:r>
              <w:rPr>
                <w:rFonts w:ascii="Carlito" w:hAnsi="Carlito"/>
                <w:b w:val="0"/>
                <w:i/>
                <w:color w:val="4A5B63"/>
                <w:sz w:val="17"/>
              </w:rPr>
              <w:t>Beginner, independent practitioner, or signal lead — judged against the evidence column of the map, not against how long you have done the job.</w:t>
            </w:r>
          </w:p>
        </w:tc>
      </w:tr>
      <w:tr>
        <w:tc>
          <w:tcPr>
            <w:tcW w:type="dxa" w:w="2246"/>
          </w:tcPr>
          <w:p>
            <w:pPr>
              <w:spacing w:before="20" w:after="20" w:line="254" w:lineRule="auto"/>
            </w:pPr>
            <w:r>
              <w:rPr>
                <w:rFonts w:ascii="Carlito" w:hAnsi="Carlito"/>
                <w:b w:val="0"/>
                <w:i w:val="0"/>
                <w:sz w:val="19"/>
              </w:rPr>
              <w:t>Evidence, last 12 months</w:t>
            </w:r>
          </w:p>
        </w:tc>
        <w:tc>
          <w:tcPr>
            <w:tcW w:type="dxa" w:w="7114"/>
          </w:tcPr>
          <w:p>
            <w:pPr>
              <w:spacing w:before="20" w:after="20" w:line="254" w:lineRule="auto"/>
            </w:pPr>
          </w:p>
          <w:p>
            <w:pPr>
              <w:spacing w:before="20" w:after="20" w:line="254" w:lineRule="auto"/>
            </w:pPr>
            <w:r>
              <w:rPr>
                <w:rFonts w:ascii="Carlito" w:hAnsi="Carlito"/>
                <w:b w:val="0"/>
                <w:i/>
                <w:color w:val="4A5B63"/>
                <w:sz w:val="17"/>
              </w:rPr>
              <w:t>Named artifacts with dates. 'None' is a permitted and informative entry.</w:t>
            </w:r>
          </w:p>
        </w:tc>
      </w:tr>
      <w:tr>
        <w:tc>
          <w:tcPr>
            <w:tcW w:type="dxa" w:w="2246"/>
          </w:tcPr>
          <w:p>
            <w:pPr>
              <w:spacing w:before="20" w:after="20" w:line="254" w:lineRule="auto"/>
            </w:pPr>
            <w:r>
              <w:rPr>
                <w:rFonts w:ascii="Carlito" w:hAnsi="Carlito"/>
                <w:b w:val="0"/>
                <w:i w:val="0"/>
                <w:sz w:val="19"/>
              </w:rPr>
              <w:t>Gap to next level</w:t>
            </w:r>
          </w:p>
        </w:tc>
        <w:tc>
          <w:tcPr>
            <w:tcW w:type="dxa" w:w="7114"/>
          </w:tcPr>
          <w:p>
            <w:pPr>
              <w:spacing w:before="20" w:after="20" w:line="254" w:lineRule="auto"/>
            </w:pPr>
          </w:p>
          <w:p>
            <w:pPr>
              <w:spacing w:before="20" w:after="20" w:line="254" w:lineRule="auto"/>
            </w:pPr>
            <w:r>
              <w:rPr>
                <w:rFonts w:ascii="Carlito" w:hAnsi="Carlito"/>
                <w:b w:val="0"/>
                <w:i/>
                <w:color w:val="4A5B63"/>
                <w:sz w:val="17"/>
              </w:rPr>
              <w:t>The specific capability absent, stated as a behavior, not an adjective. 'I have never written a case definition others adjudicated against' beats 'need to improve'.</w:t>
            </w:r>
          </w:p>
        </w:tc>
      </w:tr>
      <w:tr>
        <w:tc>
          <w:tcPr>
            <w:tcW w:type="dxa" w:w="2246"/>
          </w:tcPr>
          <w:p>
            <w:pPr>
              <w:spacing w:before="20" w:after="20" w:line="254" w:lineRule="auto"/>
            </w:pPr>
            <w:r>
              <w:rPr>
                <w:rFonts w:ascii="Carlito" w:hAnsi="Carlito"/>
                <w:b w:val="0"/>
                <w:i w:val="0"/>
                <w:sz w:val="19"/>
              </w:rPr>
              <w:t>Action</w:t>
            </w:r>
          </w:p>
        </w:tc>
        <w:tc>
          <w:tcPr>
            <w:tcW w:type="dxa" w:w="7114"/>
          </w:tcPr>
          <w:p>
            <w:pPr>
              <w:spacing w:before="20" w:after="20" w:line="254" w:lineRule="auto"/>
            </w:pPr>
          </w:p>
          <w:p>
            <w:pPr>
              <w:spacing w:before="20" w:after="20" w:line="254" w:lineRule="auto"/>
            </w:pPr>
            <w:r>
              <w:rPr>
                <w:rFonts w:ascii="Carlito" w:hAnsi="Carlito"/>
                <w:b w:val="0"/>
                <w:i/>
                <w:color w:val="4A5B63"/>
                <w:sz w:val="17"/>
              </w:rPr>
              <w:t>What will be done, on what work, by when. Attach it to work you will do anyway.</w:t>
            </w:r>
          </w:p>
        </w:tc>
      </w:tr>
      <w:tr>
        <w:tc>
          <w:tcPr>
            <w:tcW w:type="dxa" w:w="2246"/>
          </w:tcPr>
          <w:p>
            <w:pPr>
              <w:spacing w:before="20" w:after="20" w:line="254" w:lineRule="auto"/>
            </w:pPr>
            <w:r>
              <w:rPr>
                <w:rFonts w:ascii="Carlito" w:hAnsi="Carlito"/>
                <w:b w:val="0"/>
                <w:i w:val="0"/>
                <w:sz w:val="19"/>
              </w:rPr>
              <w:t>Evidence of progress</w:t>
            </w:r>
          </w:p>
        </w:tc>
        <w:tc>
          <w:tcPr>
            <w:tcW w:type="dxa" w:w="7114"/>
          </w:tcPr>
          <w:p>
            <w:pPr>
              <w:spacing w:before="20" w:after="20" w:line="254" w:lineRule="auto"/>
            </w:pPr>
          </w:p>
          <w:p>
            <w:pPr>
              <w:spacing w:before="20" w:after="20" w:line="254" w:lineRule="auto"/>
            </w:pPr>
            <w:r>
              <w:rPr>
                <w:rFonts w:ascii="Carlito" w:hAnsi="Carlito"/>
                <w:b w:val="0"/>
                <w:i/>
                <w:color w:val="4A5B63"/>
                <w:sz w:val="17"/>
              </w:rPr>
              <w:t>The artifact that will exist next year if the action succeeded.</w:t>
            </w:r>
          </w:p>
        </w:tc>
      </w:tr>
    </w:tbl>
    <w:p>
      <w:pPr>
        <w:spacing w:after="40"/>
      </w:pPr>
    </w:p>
    <w:p>
      <w:pPr>
        <w:pStyle w:val="Heading1"/>
      </w:pPr>
      <w:r>
        <w:t>Plan summary</w:t>
      </w:r>
    </w:p>
    <w:tbl>
      <w:tblPr>
        <w:tblStyle w:val="ToolkitTable"/>
        <w:tblW w:type="auto" w:w="0"/>
        <w:jc w:val="left"/>
        <w:tblLayout w:type="fixed"/>
        <w:tblLook w:val="04A0" w:firstRow="1" w:lastRow="0" w:firstColumn="0" w:lastColumn="0" w:noHBand="0" w:noVBand="1"/>
      </w:tblPr>
      <w:tblGrid>
        <w:gridCol w:w="1872"/>
        <w:gridCol w:w="1217"/>
        <w:gridCol w:w="1217"/>
        <w:gridCol w:w="2434"/>
        <w:gridCol w:w="936"/>
        <w:gridCol w:w="1685"/>
      </w:tblGrid>
      <w:tr>
        <w:trPr>
          <w:tblHeader/>
        </w:trPr>
        <w:tc>
          <w:tcPr>
            <w:tcW w:type="dxa" w:w="1872"/>
          </w:tcPr>
          <w:p>
            <w:pPr>
              <w:spacing w:before="20" w:after="20" w:line="254" w:lineRule="auto"/>
            </w:pPr>
            <w:r>
              <w:rPr>
                <w:rFonts w:ascii="Carlito" w:hAnsi="Carlito"/>
                <w:b/>
                <w:i w:val="0"/>
                <w:color w:val="FFFFFF"/>
                <w:sz w:val="19"/>
              </w:rPr>
              <w:t>Domain</w:t>
            </w:r>
          </w:p>
        </w:tc>
        <w:tc>
          <w:tcPr>
            <w:tcW w:type="dxa" w:w="1217"/>
          </w:tcPr>
          <w:p>
            <w:pPr>
              <w:spacing w:before="20" w:after="20" w:line="254" w:lineRule="auto"/>
            </w:pPr>
            <w:r>
              <w:rPr>
                <w:rFonts w:ascii="Carlito" w:hAnsi="Carlito"/>
                <w:b/>
                <w:i w:val="0"/>
                <w:color w:val="FFFFFF"/>
                <w:sz w:val="19"/>
              </w:rPr>
              <w:t>Current level</w:t>
            </w:r>
          </w:p>
        </w:tc>
        <w:tc>
          <w:tcPr>
            <w:tcW w:type="dxa" w:w="1217"/>
          </w:tcPr>
          <w:p>
            <w:pPr>
              <w:spacing w:before="20" w:after="20" w:line="254" w:lineRule="auto"/>
            </w:pPr>
            <w:r>
              <w:rPr>
                <w:rFonts w:ascii="Carlito" w:hAnsi="Carlito"/>
                <w:b/>
                <w:i w:val="0"/>
                <w:color w:val="FFFFFF"/>
                <w:sz w:val="19"/>
              </w:rPr>
              <w:t>Target level</w:t>
            </w:r>
          </w:p>
        </w:tc>
        <w:tc>
          <w:tcPr>
            <w:tcW w:type="dxa" w:w="2434"/>
          </w:tcPr>
          <w:p>
            <w:pPr>
              <w:spacing w:before="20" w:after="20" w:line="254" w:lineRule="auto"/>
            </w:pPr>
            <w:r>
              <w:rPr>
                <w:rFonts w:ascii="Carlito" w:hAnsi="Carlito"/>
                <w:b/>
                <w:i w:val="0"/>
                <w:color w:val="FFFFFF"/>
                <w:sz w:val="19"/>
              </w:rPr>
              <w:t>Action</w:t>
            </w:r>
          </w:p>
        </w:tc>
        <w:tc>
          <w:tcPr>
            <w:tcW w:type="dxa" w:w="936"/>
          </w:tcPr>
          <w:p>
            <w:pPr>
              <w:spacing w:before="20" w:after="20" w:line="254" w:lineRule="auto"/>
            </w:pPr>
            <w:r>
              <w:rPr>
                <w:rFonts w:ascii="Carlito" w:hAnsi="Carlito"/>
                <w:b/>
                <w:i w:val="0"/>
                <w:color w:val="FFFFFF"/>
                <w:sz w:val="19"/>
              </w:rPr>
              <w:t>By when</w:t>
            </w:r>
          </w:p>
        </w:tc>
        <w:tc>
          <w:tcPr>
            <w:tcW w:type="dxa" w:w="1685"/>
          </w:tcPr>
          <w:p>
            <w:pPr>
              <w:spacing w:before="20" w:after="20" w:line="254" w:lineRule="auto"/>
            </w:pPr>
            <w:r>
              <w:rPr>
                <w:rFonts w:ascii="Carlito" w:hAnsi="Carlito"/>
                <w:b/>
                <w:i w:val="0"/>
                <w:color w:val="FFFFFF"/>
                <w:sz w:val="19"/>
              </w:rPr>
              <w:t>Artifact expected</w:t>
            </w:r>
          </w:p>
        </w:tc>
      </w:tr>
      <w:tr>
        <w:tc>
          <w:tcPr>
            <w:tcW w:type="dxa" w:w="1872"/>
          </w:tcPr>
          <w:p>
            <w:pPr>
              <w:spacing w:before="20" w:after="20" w:line="254" w:lineRule="auto"/>
            </w:pPr>
            <w:r>
              <w:rPr>
                <w:rFonts w:ascii="Carlito" w:hAnsi="Carlito"/>
                <w:b w:val="0"/>
                <w:i w:val="0"/>
                <w:sz w:val="19"/>
              </w:rPr>
              <w:t>Clinical reasoning</w:t>
            </w:r>
          </w:p>
        </w:tc>
        <w:tc>
          <w:tcPr>
            <w:tcW w:type="dxa" w:w="1217"/>
          </w:tcPr>
          <w:p>
            <w:pPr>
              <w:spacing w:before="20" w:after="20" w:line="254" w:lineRule="auto"/>
            </w:pPr>
          </w:p>
        </w:tc>
        <w:tc>
          <w:tcPr>
            <w:tcW w:type="dxa" w:w="1217"/>
          </w:tcPr>
          <w:p>
            <w:pPr>
              <w:spacing w:before="20" w:after="20" w:line="254" w:lineRule="auto"/>
            </w:pPr>
          </w:p>
        </w:tc>
        <w:tc>
          <w:tcPr>
            <w:tcW w:type="dxa" w:w="2434"/>
          </w:tcPr>
          <w:p>
            <w:pPr>
              <w:spacing w:before="20" w:after="20" w:line="254" w:lineRule="auto"/>
            </w:pPr>
          </w:p>
        </w:tc>
        <w:tc>
          <w:tcPr>
            <w:tcW w:type="dxa" w:w="936"/>
          </w:tcPr>
          <w:p>
            <w:pPr>
              <w:spacing w:before="20" w:after="20" w:line="254" w:lineRule="auto"/>
            </w:pPr>
          </w:p>
        </w:tc>
        <w:tc>
          <w:tcPr>
            <w:tcW w:type="dxa" w:w="1685"/>
          </w:tcPr>
          <w:p>
            <w:pPr>
              <w:spacing w:before="20" w:after="20" w:line="254" w:lineRule="auto"/>
            </w:pPr>
          </w:p>
        </w:tc>
      </w:tr>
      <w:tr>
        <w:tc>
          <w:tcPr>
            <w:tcW w:type="dxa" w:w="1872"/>
          </w:tcPr>
          <w:p>
            <w:pPr>
              <w:spacing w:before="20" w:after="20" w:line="254" w:lineRule="auto"/>
            </w:pPr>
            <w:r>
              <w:rPr>
                <w:rFonts w:ascii="Carlito" w:hAnsi="Carlito"/>
                <w:b w:val="0"/>
                <w:i w:val="0"/>
                <w:sz w:val="19"/>
              </w:rPr>
              <w:t>Quantitative literacy</w:t>
            </w:r>
          </w:p>
        </w:tc>
        <w:tc>
          <w:tcPr>
            <w:tcW w:type="dxa" w:w="1217"/>
          </w:tcPr>
          <w:p>
            <w:pPr>
              <w:spacing w:before="20" w:after="20" w:line="254" w:lineRule="auto"/>
            </w:pPr>
          </w:p>
        </w:tc>
        <w:tc>
          <w:tcPr>
            <w:tcW w:type="dxa" w:w="1217"/>
          </w:tcPr>
          <w:p>
            <w:pPr>
              <w:spacing w:before="20" w:after="20" w:line="254" w:lineRule="auto"/>
            </w:pPr>
          </w:p>
        </w:tc>
        <w:tc>
          <w:tcPr>
            <w:tcW w:type="dxa" w:w="2434"/>
          </w:tcPr>
          <w:p>
            <w:pPr>
              <w:spacing w:before="20" w:after="20" w:line="254" w:lineRule="auto"/>
            </w:pPr>
          </w:p>
        </w:tc>
        <w:tc>
          <w:tcPr>
            <w:tcW w:type="dxa" w:w="936"/>
          </w:tcPr>
          <w:p>
            <w:pPr>
              <w:spacing w:before="20" w:after="20" w:line="254" w:lineRule="auto"/>
            </w:pPr>
          </w:p>
        </w:tc>
        <w:tc>
          <w:tcPr>
            <w:tcW w:type="dxa" w:w="1685"/>
          </w:tcPr>
          <w:p>
            <w:pPr>
              <w:spacing w:before="20" w:after="20" w:line="254" w:lineRule="auto"/>
            </w:pPr>
          </w:p>
        </w:tc>
      </w:tr>
      <w:tr>
        <w:tc>
          <w:tcPr>
            <w:tcW w:type="dxa" w:w="1872"/>
          </w:tcPr>
          <w:p>
            <w:pPr>
              <w:spacing w:before="20" w:after="20" w:line="254" w:lineRule="auto"/>
            </w:pPr>
            <w:r>
              <w:rPr>
                <w:rFonts w:ascii="Carlito" w:hAnsi="Carlito"/>
                <w:b w:val="0"/>
                <w:i w:val="0"/>
                <w:sz w:val="19"/>
              </w:rPr>
              <w:t>Regulatory judgment</w:t>
            </w:r>
          </w:p>
        </w:tc>
        <w:tc>
          <w:tcPr>
            <w:tcW w:type="dxa" w:w="1217"/>
          </w:tcPr>
          <w:p>
            <w:pPr>
              <w:spacing w:before="20" w:after="20" w:line="254" w:lineRule="auto"/>
            </w:pPr>
          </w:p>
        </w:tc>
        <w:tc>
          <w:tcPr>
            <w:tcW w:type="dxa" w:w="1217"/>
          </w:tcPr>
          <w:p>
            <w:pPr>
              <w:spacing w:before="20" w:after="20" w:line="254" w:lineRule="auto"/>
            </w:pPr>
          </w:p>
        </w:tc>
        <w:tc>
          <w:tcPr>
            <w:tcW w:type="dxa" w:w="2434"/>
          </w:tcPr>
          <w:p>
            <w:pPr>
              <w:spacing w:before="20" w:after="20" w:line="254" w:lineRule="auto"/>
            </w:pPr>
          </w:p>
        </w:tc>
        <w:tc>
          <w:tcPr>
            <w:tcW w:type="dxa" w:w="936"/>
          </w:tcPr>
          <w:p>
            <w:pPr>
              <w:spacing w:before="20" w:after="20" w:line="254" w:lineRule="auto"/>
            </w:pPr>
          </w:p>
        </w:tc>
        <w:tc>
          <w:tcPr>
            <w:tcW w:type="dxa" w:w="1685"/>
          </w:tcPr>
          <w:p>
            <w:pPr>
              <w:spacing w:before="20" w:after="20" w:line="254" w:lineRule="auto"/>
            </w:pPr>
          </w:p>
        </w:tc>
      </w:tr>
      <w:tr>
        <w:tc>
          <w:tcPr>
            <w:tcW w:type="dxa" w:w="1872"/>
          </w:tcPr>
          <w:p>
            <w:pPr>
              <w:spacing w:before="20" w:after="20" w:line="254" w:lineRule="auto"/>
            </w:pPr>
            <w:r>
              <w:rPr>
                <w:rFonts w:ascii="Carlito" w:hAnsi="Carlito"/>
                <w:b w:val="0"/>
                <w:i w:val="0"/>
                <w:sz w:val="19"/>
              </w:rPr>
              <w:t>Collaboration</w:t>
            </w:r>
          </w:p>
        </w:tc>
        <w:tc>
          <w:tcPr>
            <w:tcW w:type="dxa" w:w="1217"/>
          </w:tcPr>
          <w:p>
            <w:pPr>
              <w:spacing w:before="20" w:after="20" w:line="254" w:lineRule="auto"/>
            </w:pPr>
          </w:p>
        </w:tc>
        <w:tc>
          <w:tcPr>
            <w:tcW w:type="dxa" w:w="1217"/>
          </w:tcPr>
          <w:p>
            <w:pPr>
              <w:spacing w:before="20" w:after="20" w:line="254" w:lineRule="auto"/>
            </w:pPr>
          </w:p>
        </w:tc>
        <w:tc>
          <w:tcPr>
            <w:tcW w:type="dxa" w:w="2434"/>
          </w:tcPr>
          <w:p>
            <w:pPr>
              <w:spacing w:before="20" w:after="20" w:line="254" w:lineRule="auto"/>
            </w:pPr>
          </w:p>
        </w:tc>
        <w:tc>
          <w:tcPr>
            <w:tcW w:type="dxa" w:w="936"/>
          </w:tcPr>
          <w:p>
            <w:pPr>
              <w:spacing w:before="20" w:after="20" w:line="254" w:lineRule="auto"/>
            </w:pPr>
          </w:p>
        </w:tc>
        <w:tc>
          <w:tcPr>
            <w:tcW w:type="dxa" w:w="1685"/>
          </w:tcPr>
          <w:p>
            <w:pPr>
              <w:spacing w:before="20" w:after="20" w:line="254" w:lineRule="auto"/>
            </w:pPr>
          </w:p>
        </w:tc>
      </w:tr>
      <w:tr>
        <w:tc>
          <w:tcPr>
            <w:tcW w:type="dxa" w:w="1872"/>
          </w:tcPr>
          <w:p>
            <w:pPr>
              <w:spacing w:before="20" w:after="20" w:line="254" w:lineRule="auto"/>
            </w:pPr>
            <w:r>
              <w:rPr>
                <w:rFonts w:ascii="Carlito" w:hAnsi="Carlito"/>
                <w:b w:val="0"/>
                <w:i w:val="0"/>
                <w:sz w:val="19"/>
              </w:rPr>
              <w:t>Ethics and accountability</w:t>
            </w:r>
          </w:p>
        </w:tc>
        <w:tc>
          <w:tcPr>
            <w:tcW w:type="dxa" w:w="1217"/>
          </w:tcPr>
          <w:p>
            <w:pPr>
              <w:spacing w:before="20" w:after="20" w:line="254" w:lineRule="auto"/>
            </w:pPr>
          </w:p>
        </w:tc>
        <w:tc>
          <w:tcPr>
            <w:tcW w:type="dxa" w:w="1217"/>
          </w:tcPr>
          <w:p>
            <w:pPr>
              <w:spacing w:before="20" w:after="20" w:line="254" w:lineRule="auto"/>
            </w:pPr>
          </w:p>
        </w:tc>
        <w:tc>
          <w:tcPr>
            <w:tcW w:type="dxa" w:w="2434"/>
          </w:tcPr>
          <w:p>
            <w:pPr>
              <w:spacing w:before="20" w:after="20" w:line="254" w:lineRule="auto"/>
            </w:pPr>
          </w:p>
        </w:tc>
        <w:tc>
          <w:tcPr>
            <w:tcW w:type="dxa" w:w="936"/>
          </w:tcPr>
          <w:p>
            <w:pPr>
              <w:spacing w:before="20" w:after="20" w:line="254" w:lineRule="auto"/>
            </w:pPr>
          </w:p>
        </w:tc>
        <w:tc>
          <w:tcPr>
            <w:tcW w:type="dxa" w:w="1685"/>
          </w:tcPr>
          <w:p>
            <w:pPr>
              <w:spacing w:before="20" w:after="20" w:line="254" w:lineRule="auto"/>
            </w:pPr>
          </w:p>
        </w:tc>
      </w:tr>
    </w:tbl>
    <w:p>
      <w:pPr>
        <w:spacing w:after="40"/>
      </w:pPr>
    </w:p>
    <w:p>
      <w:pPr>
        <w:pStyle w:val="Heading1"/>
      </w:pPr>
      <w:r>
        <w:t>Review</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Reviewer</w:t>
            </w:r>
          </w:p>
        </w:tc>
        <w:tc>
          <w:tcPr>
            <w:tcW w:type="dxa" w:w="3744"/>
          </w:tcPr>
          <w:p>
            <w:pPr>
              <w:spacing w:before="20" w:after="20" w:line="254" w:lineRule="auto"/>
            </w:pPr>
            <w:r>
              <w:rPr>
                <w:rFonts w:ascii="Carlito" w:hAnsi="Carlito"/>
                <w:b w:val="0"/>
                <w:i w:val="0"/>
                <w:sz w:val="19"/>
              </w:rPr>
              <w:t>Who confirmed the rating, and their basis for doing so</w:t>
            </w:r>
          </w:p>
          <w:p>
            <w:pPr>
              <w:spacing w:before="20" w:after="20" w:line="254" w:lineRule="auto"/>
            </w:pPr>
            <w:r>
              <w:rPr>
                <w:rFonts w:ascii="Carlito" w:hAnsi="Carlito"/>
                <w:b w:val="0"/>
                <w:i/>
                <w:color w:val="4A5B63"/>
                <w:sz w:val="17"/>
              </w:rPr>
              <w:t>Someone who has seen your work. A reviewer who has not read one of your artifacts is confirming a self-description.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Points of disagreement</w:t>
            </w:r>
          </w:p>
        </w:tc>
        <w:tc>
          <w:tcPr>
            <w:tcW w:type="dxa" w:w="3744"/>
          </w:tcPr>
          <w:p>
            <w:pPr>
              <w:spacing w:before="20" w:after="20" w:line="254" w:lineRule="auto"/>
            </w:pPr>
            <w:r>
              <w:rPr>
                <w:rFonts w:ascii="Carlito" w:hAnsi="Carlito"/>
                <w:b w:val="0"/>
                <w:i w:val="0"/>
                <w:sz w:val="19"/>
              </w:rPr>
              <w:t>Where the reviewer's rating differed from yours, and on what evidence</w:t>
            </w:r>
          </w:p>
          <w:p>
            <w:pPr>
              <w:spacing w:before="20" w:after="20" w:line="254" w:lineRule="auto"/>
            </w:pPr>
            <w:r>
              <w:rPr>
                <w:rFonts w:ascii="Carlito" w:hAnsi="Carlito"/>
                <w:b w:val="0"/>
                <w:i/>
                <w:color w:val="4A5B63"/>
                <w:sz w:val="17"/>
              </w:rPr>
              <w:t>A disagreement recorded is the most useful line on the form.</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Date of this plan</w:t>
            </w:r>
          </w:p>
        </w:tc>
        <w:tc>
          <w:tcPr>
            <w:tcW w:type="dxa" w:w="3744"/>
          </w:tcPr>
          <w:p>
            <w:pPr>
              <w:spacing w:before="20" w:after="20" w:line="254" w:lineRule="auto"/>
            </w:pPr>
            <w:r>
              <w:rPr>
                <w:rFonts w:ascii="Carlito" w:hAnsi="Carlito"/>
                <w:b w:val="0"/>
                <w:i w:val="0"/>
                <w:sz w:val="19"/>
              </w:rPr>
              <w:t>Date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Date the plan will be repeated</w:t>
            </w:r>
          </w:p>
        </w:tc>
        <w:tc>
          <w:tcPr>
            <w:tcW w:type="dxa" w:w="3744"/>
          </w:tcPr>
          <w:p>
            <w:pPr>
              <w:spacing w:before="20" w:after="20" w:line="254" w:lineRule="auto"/>
            </w:pPr>
            <w:r>
              <w:rPr>
                <w:rFonts w:ascii="Carlito" w:hAnsi="Carlito"/>
                <w:b w:val="0"/>
                <w:i w:val="0"/>
                <w:sz w:val="19"/>
              </w:rPr>
              <w:t>Date; and confirmation that this year's copy is retained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Last year's plan attached?</w:t>
            </w:r>
          </w:p>
        </w:tc>
        <w:tc>
          <w:tcPr>
            <w:tcW w:type="dxa" w:w="3744"/>
          </w:tcPr>
          <w:p>
            <w:pPr>
              <w:spacing w:before="20" w:after="20" w:line="254" w:lineRule="auto"/>
            </w:pPr>
            <w:r>
              <w:rPr>
                <w:rFonts w:ascii="Carlito" w:hAnsi="Carlito"/>
                <w:b w:val="0"/>
                <w:i w:val="0"/>
                <w:sz w:val="19"/>
              </w:rPr>
              <w:t>Yes/no; and what changed against it</w:t>
            </w:r>
          </w:p>
          <w:p>
            <w:pPr>
              <w:spacing w:before="20" w:after="20" w:line="254" w:lineRule="auto"/>
            </w:pPr>
            <w:r>
              <w:rPr>
                <w:rFonts w:ascii="Carlito" w:hAnsi="Carlito"/>
                <w:b w:val="0"/>
                <w:i/>
                <w:color w:val="4A5B63"/>
                <w:sz w:val="17"/>
              </w:rPr>
              <w:t>Progress is measured against what you wrote then, not what you now remember writing.</w:t>
            </w:r>
          </w:p>
        </w:tc>
        <w:tc>
          <w:tcPr>
            <w:tcW w:type="dxa" w:w="3557"/>
          </w:tcPr>
          <w:p>
            <w:pPr>
              <w:spacing w:before="20" w:after="20" w:line="254" w:lineRule="auto"/>
            </w:pPr>
          </w:p>
        </w:tc>
      </w:tr>
    </w:tbl>
    <w:p>
      <w:pPr>
        <w:spacing w:after="40"/>
      </w:pPr>
    </w:p>
    <w:p>
      <w:pPr>
        <w:spacing w:before="40" w:after="160"/>
        <w:pBdr>
          <w:bottom w:val="single" w:sz="6" w:space="1" w:color="9FBAC0"/>
        </w:pBdr>
      </w:pPr>
    </w:p>
    <w:p>
      <w:r>
        <w:rPr>
          <w:rFonts w:ascii="Carlito" w:hAnsi="Carlito"/>
          <w:i/>
          <w:color w:val="4A5B63"/>
          <w:sz w:val="18"/>
        </w:rPr>
        <w:t>This template is educational. It does not replace applicable law, current regulatory guidance, medical judgment, or company procedures. Adapt it to your own procedures before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A5B63"/>
        <w:sz w:val="16"/>
      </w:rPr>
      <w:t>T-24 Competency Self-Assessment and Professional Development Plan · Signal Management in Pharmacovigilance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rlito" w:hAnsi="Carlito" w:cs="Carlito" w:eastAsia="Carlito"/>
      <w:color w:val="1E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keepNext/>
    </w:pPr>
    <w:rPr>
      <w:rFonts w:asciiTheme="majorHAnsi" w:eastAsiaTheme="majorEastAsia" w:hAnsiTheme="majorHAnsi" w:cstheme="majorBidi" w:ascii="Caladea" w:hAnsi="Caladea" w:cs="Caladea" w:eastAsia="Caladea"/>
      <w:b/>
      <w:bCs/>
      <w:color w:val="1F5661"/>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keepNext/>
    </w:pPr>
    <w:rPr>
      <w:rFonts w:asciiTheme="majorHAnsi" w:eastAsiaTheme="majorEastAsia" w:hAnsiTheme="majorHAnsi" w:cstheme="majorBidi" w:ascii="Caladea" w:hAnsi="Caladea" w:cs="Caladea" w:eastAsia="Caladea"/>
      <w:b/>
      <w:bCs/>
      <w:color w:val="1F566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keepNext/>
    </w:pPr>
    <w:rPr>
      <w:rFonts w:asciiTheme="majorHAnsi" w:eastAsiaTheme="majorEastAsia" w:hAnsiTheme="majorHAnsi" w:cstheme="majorBidi" w:ascii="Caladea" w:hAnsi="Caladea" w:cs="Caladea" w:eastAsia="Caladea"/>
      <w:b/>
      <w:bCs/>
      <w:color w:val="1F56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adea" w:hAnsi="Caladea" w:cs="Caladea" w:eastAsia="Caladea"/>
      <w:b/>
      <w:color w:val="1F56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0" w:after="140"/>
    </w:pPr>
    <w:rPr>
      <w:rFonts w:ascii="Carlito" w:hAnsi="Carlito" w:cs="Carlito" w:eastAsia="Carlito"/>
      <w:i/>
      <w:color w:val="4A5B63"/>
      <w:sz w:val="19"/>
    </w:rPr>
  </w:style>
  <w:style w:type="paragraph" w:customStyle="1" w:styleId="SubtleNote">
    <w:name w:val="SubtleNote"/>
    <w:basedOn w:val="Normal"/>
    <w:pPr>
      <w:spacing w:before="0" w:after="100"/>
    </w:pPr>
    <w:rPr>
      <w:rFonts w:ascii="Carlito" w:hAnsi="Carlito" w:cs="Carlito" w:eastAsia="Carlito"/>
      <w:color w:val="4A5B63"/>
      <w:sz w:val="19"/>
    </w:rPr>
  </w:style>
  <w:style w:type="table" w:styleId="ToolkitTable">
    <w:name w:val="Toolkit Table"/>
    <w:basedOn w:val="TableNormal"/>
    <w:uiPriority w:val="59"/>
    <w:qFormat/>
    <w:rPr>
      <w:rFonts w:ascii="Carlito" w:hAnsi="Carlito" w:cs="Carlito"/>
      <w:color w:val="1E2A32"/>
      <w:sz w:val="19"/>
    </w:rPr>
    <w:tblPr>
      <w:tblStyleRowBandSize w:val="1"/>
      <w:tblBorders>
        <w:top w:val="single" w:sz="4" w:space="0" w:color="9FBAC0"/>
        <w:left w:val="single" w:sz="4" w:space="0" w:color="9FBAC0"/>
        <w:bottom w:val="single" w:sz="4" w:space="0" w:color="9FBAC0"/>
        <w:right w:val="single" w:sz="4" w:space="0" w:color="9FBAC0"/>
        <w:insideH w:val="single" w:sz="4" w:space="0" w:color="9FBAC0"/>
        <w:insideV w:val="single" w:sz="4" w:space="0" w:color="9FBAC0"/>
      </w:tblBorders>
      <w:tblCellMar>
        <w:top w:w="72" w:type="dxa"/>
        <w:left w:w="101" w:type="dxa"/>
        <w:bottom w:w="72" w:type="dxa"/>
        <w:right w:w="101" w:type="dxa"/>
      </w:tblCellMar>
    </w:tblPr>
    <w:tblStylePr w:type="firstRow">
      <w:pPr>
        <w:keepNext/>
        <w:spacing w:before="20" w:after="20"/>
      </w:pPr>
      <w:rPr>
        <w:rFonts w:ascii="Carlito" w:hAnsi="Carlito"/>
        <w:b/>
        <w:color w:val="FFFFFF"/>
      </w:rPr>
      <w:tcPr>
        <w:shd w:val="clear" w:color="auto" w:fill="1F5661"/>
      </w:tcPr>
    </w:tblStylePr>
    <w:tblStylePr w:type="band1Horz">
      <w:tcPr>
        <w:shd w:val="clear" w:color="auto" w:fill="E8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