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Стартовая карточка кейса</w:t>
      </w:r>
    </w:p>
    <w:bookmarkStart w:id="16" w:name="стартовая-карточка-клиента"/>
    <w:p>
      <w:pPr>
        <w:pStyle w:val="Heading1"/>
      </w:pPr>
      <w:r>
        <w:t xml:space="preserve">Стартовая карточка клиента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Самый первый документ всей цепочки. Заполняет руководитель, когда выбирает клиента под видео-визит. Этот документ запускает три параллельных потока сбора информации: менеджер, Битрикс, открытые источники.</w:t>
      </w:r>
    </w:p>
    <w:p>
      <w:pPr>
        <w:pStyle w:val="BlockText"/>
      </w:pPr>
      <w:r>
        <w:t xml:space="preserve">Время заполнения: 15–20 минут.</w:t>
      </w:r>
    </w:p>
    <w:p>
      <w:pPr>
        <w:pStyle w:val="FirstParagraph"/>
      </w:pPr>
      <w:r>
        <w:rPr>
          <w:b/>
          <w:bCs/>
        </w:rPr>
        <w:t xml:space="preserve">Дата начала работы: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Кто инициирует (ФИО, должность):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9" w:name="X663049ad4fc46710282fb9ecc7efafb4caddc56"/>
    <w:p>
      <w:pPr>
        <w:pStyle w:val="Heading2"/>
      </w:pPr>
      <w:r>
        <w:t xml:space="preserve">1. Кого выбрали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клиента (как обращаемся)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Фамилия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Город / регион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Тип объекта (квартира / дом / таунхаус / коттедж / другое)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Что мы делали (кратко)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подписания договора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завершения монтажа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Сколько прошло с монтажа на сегодня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Стоимость проекта (для внутреннего понимания, не для ролика)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Внутренний номер сделки в Битрикс24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3eaf52b7deea24292494beb2d0b337faea10af2"/>
    <w:p>
      <w:pPr>
        <w:pStyle w:val="Heading2"/>
      </w:pPr>
      <w:r>
        <w:t xml:space="preserve">2. Почему именно этот клиент</w:t>
      </w:r>
    </w:p>
    <w:p>
      <w:pPr>
        <w:pStyle w:val="BlockText"/>
      </w:pPr>
      <w:r>
        <w:rPr>
          <w:b/>
          <w:bCs/>
        </w:rPr>
        <w:t xml:space="preserve">ℹ Информация: Это не формальность</w:t>
      </w:r>
      <w:r>
        <w:t xml:space="preserve"> </w:t>
      </w:r>
      <w:r>
        <w:t xml:space="preserve">Если на этот вопрос нет внятного ответа за 2 предложения — клиент не подходит, берём другого. Подробные основания, когда формат лучше не запускать — в чек-листе главного документа.</w:t>
      </w:r>
    </w:p>
    <w:p>
      <w:pPr>
        <w:pStyle w:val="FirstParagraph"/>
      </w:pPr>
      <w:r>
        <w:rPr>
          <w:b/>
          <w:bCs/>
        </w:rPr>
        <w:t xml:space="preserve">Краткое обоснование</w:t>
      </w:r>
      <w:r>
        <w:t xml:space="preserve"> </w:t>
      </w:r>
      <w:r>
        <w:t xml:space="preserve">(3–5 предложений своими словами): почему именно этот проект и эта семья, что в нём «снимаемого», какая фишка или какая история?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в нём ценно для запуска молвы (отметить применимое):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Нестандартное решение</w:t>
      </w:r>
      <w:r>
        <w:t xml:space="preserve"> </w:t>
      </w:r>
      <w:r>
        <w:t xml:space="preserve">— есть конкретная инженерная или дизайнерская находка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Яркий клиент</w:t>
      </w:r>
      <w:r>
        <w:t xml:space="preserve"> </w:t>
      </w:r>
      <w:r>
        <w:t xml:space="preserve">— человек с интересной профессией, биографией, темпераментом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Сильный сарафан-кейс</w:t>
      </w:r>
      <w:r>
        <w:t xml:space="preserve"> </w:t>
      </w:r>
      <w:r>
        <w:t xml:space="preserve">— клиент пришёл по рекомендации, и его пример хорошо показывает, как это работает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Тест временем</w:t>
      </w:r>
      <w:r>
        <w:t xml:space="preserve"> </w:t>
      </w:r>
      <w:r>
        <w:t xml:space="preserve">— прошло достаточно месяцев, чтобы показать «как живётся»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Особый объект</w:t>
      </w:r>
      <w:r>
        <w:t xml:space="preserve"> </w:t>
      </w:r>
      <w:r>
        <w:t xml:space="preserve">— необычная планировка, статусный адрес, редкий формат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«Фиолетовая корова»</w:t>
      </w:r>
      <w:r>
        <w:t xml:space="preserve"> </w:t>
      </w:r>
      <w:r>
        <w:t xml:space="preserve">в проекте — деталь, про которую захочется рассказать соседу (термин Сета Година — то, что настолько ярко, что не пройдёшь мимо)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Поддерживает идентичность клиента</w:t>
      </w:r>
      <w:r>
        <w:t xml:space="preserve"> </w:t>
      </w:r>
      <w:r>
        <w:t xml:space="preserve">— мебель помогает быть тем, кем он хочет быть (а не только лежать в шкафу)</w:t>
      </w:r>
    </w:p>
    <w:p>
      <w:r>
        <w:pict>
          <v:rect style="width:0;height:1.5pt" o:hralign="center" o:hrstd="t" o:hr="t"/>
        </w:pict>
      </w:r>
    </w:p>
    <w:bookmarkEnd w:id="10"/>
    <w:bookmarkStart w:id="11" w:name="X9ee5b6de27cd8914cbc010a4c29a9ad65505d8a"/>
    <w:p>
      <w:pPr>
        <w:pStyle w:val="Heading2"/>
      </w:pPr>
      <w:r>
        <w:t xml:space="preserve">3. Контакты и команда</w:t>
      </w:r>
    </w:p>
    <w:p>
      <w:pPr>
        <w:pStyle w:val="FirstParagraph"/>
      </w:pPr>
      <w:r>
        <w:rPr>
          <w:b/>
          <w:bCs/>
        </w:rPr>
        <w:t xml:space="preserve">Контакты клиента.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Мессенджеры (что использует)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Адрес объекта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Когда удобнее звонить (со слов менеджера)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Команда по проекту.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проекта (вёл сделку)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Дизайнер-проектировщик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Замерщик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Старший монтажа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Назначения на эту подготовку.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Срок сдачи материала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— утверждает финал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Менеджер проекта — заполняет опросный лист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Помощник — собирает данные из Битрикса и открытых источников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Сценарист — пишет финальный сценарий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25dfd9597d44f823bcdbab734afd4883207783"/>
    <w:p>
      <w:pPr>
        <w:pStyle w:val="Heading2"/>
      </w:pPr>
      <w:r>
        <w:t xml:space="preserve">4. Согласие клиента на формат</w:t>
      </w:r>
    </w:p>
    <w:p>
      <w:pPr>
        <w:pStyle w:val="BlockText"/>
      </w:pPr>
      <w:r>
        <w:rPr>
          <w:b/>
          <w:bCs/>
        </w:rPr>
        <w:t xml:space="preserve">⚠ Внимание: Этот блок заполняется ПОСЛЕ телефонного разговора с клиентом</w:t>
      </w:r>
      <w:r>
        <w:t xml:space="preserve"> </w:t>
      </w:r>
      <w:r>
        <w:t xml:space="preserve">Нельзя запускать сбор данных и тем более сбор информации из соцсетей, если клиент не дал устного согласия на видео-визит в принципе. Шаблон формулировки звонка — ниже.</w:t>
      </w:r>
    </w:p>
    <w:p>
      <w:pPr>
        <w:pStyle w:val="FirstParagraph"/>
      </w:pPr>
      <w:r>
        <w:rPr>
          <w:b/>
          <w:bCs/>
        </w:rPr>
        <w:t xml:space="preserve">Дата разговора с клиентом: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Кто звонил (руководитель или менеджер проекта):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Ответ клиента (отметить):</w:t>
      </w:r>
    </w:p>
    <w:p>
      <w:pPr>
        <w:pStyle w:val="Compact"/>
        <w:numPr>
          <w:ilvl w:val="0"/>
          <w:numId w:val="1008"/>
        </w:numPr>
      </w:pPr>
      <w:r>
        <w:t xml:space="preserve">Да, согласен на видео-визит</w:t>
      </w:r>
    </w:p>
    <w:p>
      <w:pPr>
        <w:pStyle w:val="Compact"/>
        <w:numPr>
          <w:ilvl w:val="0"/>
          <w:numId w:val="1009"/>
        </w:numPr>
      </w:pPr>
      <w:r>
        <w:t xml:space="preserve">Согласен с условиями (см. ниже)</w:t>
      </w:r>
    </w:p>
    <w:p>
      <w:pPr>
        <w:pStyle w:val="Compact"/>
        <w:numPr>
          <w:ilvl w:val="0"/>
          <w:numId w:val="1010"/>
        </w:numPr>
      </w:pPr>
      <w:r>
        <w:t xml:space="preserve">Думает (когда перезвонить: ____________)</w:t>
      </w:r>
    </w:p>
    <w:p>
      <w:pPr>
        <w:pStyle w:val="Compact"/>
        <w:numPr>
          <w:ilvl w:val="0"/>
          <w:numId w:val="1011"/>
        </w:numPr>
      </w:pPr>
      <w:r>
        <w:t xml:space="preserve">Отказ (причина: ____________)</w:t>
      </w:r>
    </w:p>
    <w:p>
      <w:pPr>
        <w:pStyle w:val="FirstParagraph"/>
      </w:pPr>
      <w:r>
        <w:rPr>
          <w:b/>
          <w:bCs/>
        </w:rPr>
        <w:t xml:space="preserve">Условия от клиента</w:t>
      </w:r>
      <w:r>
        <w:t xml:space="preserve"> </w:t>
      </w:r>
      <w:r>
        <w:t xml:space="preserve">(что попросил учесть):</w:t>
      </w:r>
    </w:p>
    <w:p>
      <w:pPr>
        <w:pStyle w:val="Compact"/>
        <w:numPr>
          <w:ilvl w:val="0"/>
          <w:numId w:val="1012"/>
        </w:numPr>
      </w:pPr>
      <w:r>
        <w:t xml:space="preserve">Кого можно или нельзя снимать в кадре: ___</w:t>
      </w:r>
    </w:p>
    <w:p>
      <w:pPr>
        <w:pStyle w:val="Compact"/>
        <w:numPr>
          <w:ilvl w:val="0"/>
          <w:numId w:val="1012"/>
        </w:numPr>
      </w:pPr>
      <w:r>
        <w:t xml:space="preserve">Какие зоны квартиры не снимать: ___</w:t>
      </w:r>
    </w:p>
    <w:p>
      <w:pPr>
        <w:pStyle w:val="Compact"/>
        <w:numPr>
          <w:ilvl w:val="0"/>
          <w:numId w:val="1012"/>
        </w:numPr>
      </w:pPr>
      <w:r>
        <w:t xml:space="preserve">Хочет ли посмотреть готовый монтаж до публикации: ___</w:t>
      </w:r>
    </w:p>
    <w:p>
      <w:pPr>
        <w:pStyle w:val="Compact"/>
        <w:numPr>
          <w:ilvl w:val="0"/>
          <w:numId w:val="1012"/>
        </w:numPr>
      </w:pPr>
      <w:r>
        <w:t xml:space="preserve">Готов ли называть нашу компанию по имени: ___</w:t>
      </w:r>
    </w:p>
    <w:p>
      <w:pPr>
        <w:pStyle w:val="Compact"/>
        <w:numPr>
          <w:ilvl w:val="0"/>
          <w:numId w:val="1012"/>
        </w:numPr>
      </w:pPr>
      <w:r>
        <w:t xml:space="preserve">Другие пожелания: ___</w:t>
      </w:r>
    </w:p>
    <w:p>
      <w:pPr>
        <w:pStyle w:val="BlockText"/>
      </w:pPr>
      <w:r>
        <w:rPr>
          <w:b/>
          <w:bCs/>
        </w:rPr>
        <w:t xml:space="preserve">❝ Цитата: Шаблон формулировки звонка</w:t>
      </w:r>
      <w:r>
        <w:t xml:space="preserve"> </w:t>
      </w:r>
      <w:r>
        <w:t xml:space="preserve">«Имя, добрый день! Мы делаем серию небольших видео — приезжаем в гости к нашим клиентам через какое-то время после монтажа. Смотрим, как живётся, попьём чаю, поснимаем минут 40. Никакого сценария "скажите пару слов о компании", никаких титров — вы хозяин, мы гости, разговариваем как обычно. Хотим записать именно ваш — потому что [одно конкретное предложение из п.2]. Как вы на это смотрите?»</w:t>
      </w:r>
    </w:p>
    <w:p>
      <w:r>
        <w:pict>
          <v:rect style="width:0;height:1.5pt" o:hralign="center" o:hrstd="t" o:hr="t"/>
        </w:pict>
      </w:r>
    </w:p>
    <w:bookmarkEnd w:id="12"/>
    <w:bookmarkStart w:id="13" w:name="X901cfd8d1615d8c3392a10bb9b5969628f221fc"/>
    <w:p>
      <w:pPr>
        <w:pStyle w:val="Heading2"/>
      </w:pPr>
      <w:r>
        <w:t xml:space="preserve">5. Дата визита</w:t>
      </w:r>
    </w:p>
    <w:p>
      <w:pPr>
        <w:pStyle w:val="FirstParagraph"/>
      </w:pPr>
      <w:r>
        <w:rPr>
          <w:b/>
          <w:bCs/>
        </w:rPr>
        <w:t xml:space="preserve">Желаемое окно визита:</w:t>
      </w:r>
      <w:r>
        <w:t xml:space="preserve"> </w:t>
      </w:r>
      <w:r>
        <w:t xml:space="preserve">___________________________ (через 10–14 дней с этого момента)</w:t>
      </w:r>
      <w:r>
        <w:t xml:space="preserve"> </w:t>
      </w:r>
      <w:r>
        <w:rPr>
          <w:b/>
          <w:bCs/>
        </w:rPr>
        <w:t xml:space="preserve">Подтверждённая дата визита: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Время: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Сколько будет длиться визит (план):</w:t>
      </w:r>
      <w:r>
        <w:t xml:space="preserve"> </w:t>
      </w:r>
      <w:r>
        <w:t xml:space="preserve">1.5–2 часа</w:t>
      </w:r>
    </w:p>
    <w:p>
      <w:r>
        <w:pict>
          <v:rect style="width:0;height:1.5pt" o:hralign="center" o:hrstd="t" o:hr="t"/>
        </w:pict>
      </w:r>
    </w:p>
    <w:bookmarkEnd w:id="13"/>
    <w:bookmarkStart w:id="14" w:name="X4fad9759c64c62d9c55b1026bf7a8fca8ee30a5"/>
    <w:p>
      <w:pPr>
        <w:pStyle w:val="Heading2"/>
      </w:pPr>
      <w:r>
        <w:t xml:space="preserve">6. Особые риски — на что обратить внимание</w:t>
      </w:r>
    </w:p>
    <w:p>
      <w:pPr>
        <w:pStyle w:val="BlockText"/>
      </w:pPr>
      <w:r>
        <w:rPr>
          <w:b/>
          <w:bCs/>
        </w:rPr>
        <w:t xml:space="preserve">⚠ Внимание: Что-то, что может пойти не так, и про что сценарист и съёмочная группа должны знать заранее</w:t>
      </w:r>
    </w:p>
    <w:p>
      <w:pPr>
        <w:pStyle w:val="Compact"/>
        <w:numPr>
          <w:ilvl w:val="0"/>
          <w:numId w:val="1013"/>
        </w:numPr>
      </w:pPr>
      <w:r>
        <w:t xml:space="preserve">Болезненные темы, которые в разговоре не поднимать: ___</w:t>
      </w:r>
    </w:p>
    <w:p>
      <w:pPr>
        <w:pStyle w:val="Compact"/>
        <w:numPr>
          <w:ilvl w:val="0"/>
          <w:numId w:val="1013"/>
        </w:numPr>
      </w:pPr>
      <w:r>
        <w:t xml:space="preserve">Особенности характера клиента (стеснителен / любит покрасоваться / закрытый / эмоциональный): ___</w:t>
      </w:r>
    </w:p>
    <w:p>
      <w:pPr>
        <w:pStyle w:val="Compact"/>
        <w:numPr>
          <w:ilvl w:val="0"/>
          <w:numId w:val="1013"/>
        </w:numPr>
      </w:pPr>
      <w:r>
        <w:t xml:space="preserve">Возможные конфликтные моменты в проекте, к которым клиент может вернуться: ___</w:t>
      </w:r>
    </w:p>
    <w:p>
      <w:pPr>
        <w:pStyle w:val="Compact"/>
        <w:numPr>
          <w:ilvl w:val="0"/>
          <w:numId w:val="1013"/>
        </w:numPr>
      </w:pPr>
      <w:r>
        <w:t xml:space="preserve">Бытовые ограничения (маленькие дети / пожилые / животные / соседи): ___</w:t>
      </w:r>
    </w:p>
    <w:p>
      <w:r>
        <w:pict>
          <v:rect style="width:0;height:1.5pt" o:hralign="center" o:hrstd="t" o:hr="t"/>
        </w:pict>
      </w:r>
    </w:p>
    <w:bookmarkEnd w:id="14"/>
    <w:bookmarkStart w:id="15" w:name="Xbe13031114744dc746bff6d7dbe9cd80abe2528"/>
    <w:p>
      <w:pPr>
        <w:pStyle w:val="Heading2"/>
      </w:pPr>
      <w:r>
        <w:t xml:space="preserve">7. Что запускаем после этой карточки</w:t>
      </w:r>
    </w:p>
    <w:p>
      <w:pPr>
        <w:pStyle w:val="BlockText"/>
      </w:pPr>
      <w:r>
        <w:rPr>
          <w:b/>
          <w:bCs/>
        </w:rPr>
        <w:t xml:space="preserve">✓ Проверка: После заполнения и согласия клиента</w:t>
      </w:r>
      <w:r>
        <w:t xml:space="preserve"> </w:t>
      </w:r>
      <w:r>
        <w:t xml:space="preserve">Передаём в работу три параллельных потока: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Менеджер проекта</w:t>
      </w:r>
      <w:r>
        <w:t xml:space="preserve"> </w:t>
      </w:r>
      <w:r>
        <w:t xml:space="preserve">получает 02 Опросный лист для менеджера проекта на заполнение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Помощник</w:t>
      </w:r>
      <w:r>
        <w:t xml:space="preserve"> </w:t>
      </w:r>
      <w:r>
        <w:t xml:space="preserve">получает 03 ТЗ — сбор и обработка данных Битрикс и 04 OSINT-чек-лист — пробив клиента</w:t>
      </w:r>
    </w:p>
    <w:p>
      <w:pPr>
        <w:pStyle w:val="Compact"/>
        <w:numPr>
          <w:ilvl w:val="0"/>
          <w:numId w:val="1016"/>
        </w:numPr>
      </w:pPr>
      <w:r>
        <w:t xml:space="preserve">Создана папка клиента</w:t>
      </w:r>
      <w:r>
        <w:t xml:space="preserve"> </w:t>
      </w:r>
      <w:r>
        <w:rPr>
          <w:rStyle w:val="VerbatimChar"/>
        </w:rPr>
        <w:t xml:space="preserve">Видео визита к клиенту/Клиент — &lt;Фамилия&gt; — &lt;Город&gt;/</w:t>
      </w:r>
      <w:r>
        <w:t xml:space="preserve"> </w:t>
      </w:r>
      <w:r>
        <w:t xml:space="preserve">со всеми поддиректориями (см. структуру в 00 Процесс подготовки видео-визита)</w:t>
      </w:r>
    </w:p>
    <w:p>
      <w:pPr>
        <w:pStyle w:val="FirstParagraph"/>
      </w:pPr>
      <w:r>
        <w:rPr>
          <w:b/>
          <w:bCs/>
        </w:rPr>
        <w:t xml:space="preserve">Крайний срок всех трёх потоков: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Стартовая карточка кейса</dc:title>
  <dc:creator/>
  <cp:keywords/>
  <dcterms:created xsi:type="dcterms:W3CDTF">2026-06-07T22:35:20Z</dcterms:created>
  <dcterms:modified xsi:type="dcterms:W3CDTF">2026-06-07T22:35:20Z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