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Arial" w:hAnsi="Arial" w:eastAsia="Arial"/>
          <w:b/>
          <w:sz w:val="22"/>
          <w:rtl/>
        </w:rPr>
        <w:t>مقدم من AFAQ SOFTWARE TEAM</w:t>
      </w:r>
    </w:p>
    <w:p>
      <w:pPr>
        <w:pStyle w:val="Title"/>
        <w:jc w:val="right"/>
        <w:bidi/>
      </w:pPr>
      <w:r>
        <w:rPr>
          <w:rFonts w:ascii="Arial" w:hAnsi="Arial" w:eastAsia="Arial"/>
          <w:b w:val="0"/>
          <w:rtl/>
        </w:rPr>
        <w:t>عرض سعر تنفيذ نظام ERP لمصنع القمة</w:t>
      </w:r>
    </w:p>
    <w:p>
      <w:pPr>
        <w:jc w:val="right"/>
        <w:bidi/>
      </w:pPr>
      <w:r>
        <w:rPr>
          <w:rFonts w:ascii="Arial" w:hAnsi="Arial" w:eastAsia="Arial"/>
          <w:b w:val="0"/>
          <w:sz w:val="18"/>
          <w:rtl/>
        </w:rPr>
        <w:t>مقدم إلى مصنع القمة للملابس | التاريخ: 18 أكتوبر 2026 | صالح لمدة 15 يومًا</w:t>
      </w:r>
    </w:p>
    <w:p>
      <w:pPr>
        <w:jc w:val="right"/>
        <w:bidi/>
      </w:pPr>
      <w:r>
        <w:rPr>
          <w:rFonts w:ascii="Arial" w:hAnsi="Arial" w:eastAsia="Arial"/>
          <w:b/>
          <w:sz w:val="20"/>
          <w:rtl/>
        </w:rPr>
        <w:t>السعر يشمل تنفيذ النظام كاملًا، وتشمل الأعمال الوحدات التالية:</w:t>
      </w:r>
    </w:p>
    <w:p>
      <w:pPr>
        <w:pStyle w:val="Heading1"/>
        <w:jc w:val="right"/>
        <w:bidi/>
      </w:pPr>
      <w:r>
        <w:rPr>
          <w:rFonts w:ascii="Arial" w:hAnsi="Arial" w:eastAsia="Arial"/>
          <w:b/>
          <w:sz w:val="23"/>
          <w:rtl/>
        </w:rPr>
        <w:t>نطاق العمل الكامل</w:t>
      </w:r>
    </w:p>
    <w:p>
      <w:pPr>
        <w:spacing w:before="50" w:after="50" w:line="252" w:lineRule="auto"/>
        <w:jc w:val="right"/>
        <w:bidi/>
      </w:pPr>
      <w:r>
        <w:rPr>
          <w:rFonts w:ascii="Arial" w:hAnsi="Arial" w:eastAsia="Arial"/>
          <w:b w:val="0"/>
          <w:color w:val="295C7E"/>
          <w:sz w:val="20"/>
          <w:rtl/>
        </w:rPr>
        <w:t xml:space="preserve">• </w:t>
      </w:r>
      <w:r>
        <w:rPr>
          <w:rFonts w:ascii="Arial" w:hAnsi="Arial" w:eastAsia="Arial"/>
          <w:b/>
          <w:color w:val="000000"/>
          <w:sz w:val="20"/>
          <w:rtl/>
        </w:rPr>
        <w:t xml:space="preserve">الأصناف والمخازن  </w:t>
      </w:r>
      <w:r>
        <w:rPr>
          <w:rFonts w:ascii="Arial" w:hAnsi="Arial" w:eastAsia="Arial"/>
          <w:b w:val="0"/>
          <w:color w:val="232323"/>
          <w:sz w:val="19"/>
          <w:rtl/>
        </w:rPr>
        <w:t>تعريف الأصناف والوحدات، وإدارة مخازن الخامات وتحت التشغيل والمنتج التام وحركات الاستلام والصرف والتحويل والجرد.</w:t>
      </w:r>
    </w:p>
    <w:p>
      <w:pPr>
        <w:spacing w:before="50" w:after="50" w:line="252" w:lineRule="auto"/>
        <w:jc w:val="right"/>
        <w:bidi/>
      </w:pPr>
      <w:r>
        <w:rPr>
          <w:rFonts w:ascii="Arial" w:hAnsi="Arial" w:eastAsia="Arial"/>
          <w:b w:val="0"/>
          <w:color w:val="295C7E"/>
          <w:sz w:val="20"/>
          <w:rtl/>
        </w:rPr>
        <w:t xml:space="preserve">• </w:t>
      </w:r>
      <w:r>
        <w:rPr>
          <w:rFonts w:ascii="Arial" w:hAnsi="Arial" w:eastAsia="Arial"/>
          <w:b/>
          <w:color w:val="000000"/>
          <w:sz w:val="20"/>
          <w:rtl/>
        </w:rPr>
        <w:t xml:space="preserve">الإنتاج  </w:t>
      </w:r>
      <w:r>
        <w:rPr>
          <w:rFonts w:ascii="Arial" w:hAnsi="Arial" w:eastAsia="Arial"/>
          <w:b w:val="0"/>
          <w:color w:val="232323"/>
          <w:sz w:val="19"/>
          <w:rtl/>
        </w:rPr>
        <w:t>متابعة دفعات الإنتاج والخامات المخططة والمصروفة والمستهلكة والمرتجعة والهالك، وتسجيل الناتج وتكلفة الوحدة واستلام المنتج التام.</w:t>
      </w:r>
    </w:p>
    <w:p>
      <w:pPr>
        <w:spacing w:before="50" w:after="50" w:line="252" w:lineRule="auto"/>
        <w:jc w:val="right"/>
        <w:bidi/>
      </w:pPr>
      <w:r>
        <w:rPr>
          <w:rFonts w:ascii="Arial" w:hAnsi="Arial" w:eastAsia="Arial"/>
          <w:b w:val="0"/>
          <w:color w:val="295C7E"/>
          <w:sz w:val="20"/>
          <w:rtl/>
        </w:rPr>
        <w:t xml:space="preserve">• </w:t>
      </w:r>
      <w:r>
        <w:rPr>
          <w:rFonts w:ascii="Arial" w:hAnsi="Arial" w:eastAsia="Arial"/>
          <w:b/>
          <w:color w:val="000000"/>
          <w:sz w:val="20"/>
          <w:rtl/>
        </w:rPr>
        <w:t xml:space="preserve">العملاء والمبيعات  </w:t>
      </w:r>
      <w:r>
        <w:rPr>
          <w:rFonts w:ascii="Arial" w:hAnsi="Arial" w:eastAsia="Arial"/>
          <w:b w:val="0"/>
          <w:color w:val="232323"/>
          <w:sz w:val="19"/>
          <w:rtl/>
        </w:rPr>
        <w:t>إدارة العملاء والطلبات والأسعار والتسليمات والمبيعات والمرتجعات.</w:t>
      </w:r>
    </w:p>
    <w:p>
      <w:pPr>
        <w:spacing w:before="50" w:after="50" w:line="252" w:lineRule="auto"/>
        <w:jc w:val="right"/>
        <w:bidi/>
      </w:pPr>
      <w:r>
        <w:rPr>
          <w:rFonts w:ascii="Arial" w:hAnsi="Arial" w:eastAsia="Arial"/>
          <w:b w:val="0"/>
          <w:color w:val="295C7E"/>
          <w:sz w:val="20"/>
          <w:rtl/>
        </w:rPr>
        <w:t xml:space="preserve">• </w:t>
      </w:r>
      <w:r>
        <w:rPr>
          <w:rFonts w:ascii="Arial" w:hAnsi="Arial" w:eastAsia="Arial"/>
          <w:b/>
          <w:color w:val="000000"/>
          <w:sz w:val="20"/>
          <w:rtl/>
        </w:rPr>
        <w:t xml:space="preserve">الموظفون والرواتب  </w:t>
      </w:r>
      <w:r>
        <w:rPr>
          <w:rFonts w:ascii="Arial" w:hAnsi="Arial" w:eastAsia="Arial"/>
          <w:b w:val="0"/>
          <w:color w:val="232323"/>
          <w:sz w:val="19"/>
          <w:rtl/>
        </w:rPr>
        <w:t>إدارة الرواتب الأساسية والإضافي والحوافز والجزاءات والتأخير والغياب والسلف والأقساط.</w:t>
      </w:r>
    </w:p>
    <w:p>
      <w:pPr>
        <w:spacing w:before="50" w:after="50" w:line="252" w:lineRule="auto"/>
        <w:jc w:val="right"/>
        <w:bidi/>
      </w:pPr>
      <w:r>
        <w:rPr>
          <w:rFonts w:ascii="Arial" w:hAnsi="Arial" w:eastAsia="Arial"/>
          <w:b w:val="0"/>
          <w:color w:val="295C7E"/>
          <w:sz w:val="20"/>
          <w:rtl/>
        </w:rPr>
        <w:t xml:space="preserve">• </w:t>
      </w:r>
      <w:r>
        <w:rPr>
          <w:rFonts w:ascii="Arial" w:hAnsi="Arial" w:eastAsia="Arial"/>
          <w:b/>
          <w:color w:val="000000"/>
          <w:sz w:val="20"/>
          <w:rtl/>
        </w:rPr>
        <w:t xml:space="preserve">الصلاحيات وسجل المتابعة  </w:t>
      </w:r>
      <w:r>
        <w:rPr>
          <w:rFonts w:ascii="Arial" w:hAnsi="Arial" w:eastAsia="Arial"/>
          <w:b w:val="0"/>
          <w:color w:val="232323"/>
          <w:sz w:val="19"/>
          <w:rtl/>
        </w:rPr>
        <w:t>صلاحيات للمدير ومسؤولي المخازن، مع سجل للحركات والتعديلات.</w:t>
      </w:r>
    </w:p>
    <w:p>
      <w:pPr>
        <w:spacing w:before="50" w:after="50" w:line="252" w:lineRule="auto"/>
        <w:jc w:val="right"/>
        <w:bidi/>
      </w:pPr>
      <w:r>
        <w:rPr>
          <w:rFonts w:ascii="Arial" w:hAnsi="Arial" w:eastAsia="Arial"/>
          <w:b w:val="0"/>
          <w:color w:val="295C7E"/>
          <w:sz w:val="20"/>
          <w:rtl/>
        </w:rPr>
        <w:t xml:space="preserve">• </w:t>
      </w:r>
      <w:r>
        <w:rPr>
          <w:rFonts w:ascii="Arial" w:hAnsi="Arial" w:eastAsia="Arial"/>
          <w:b/>
          <w:color w:val="000000"/>
          <w:sz w:val="20"/>
          <w:rtl/>
        </w:rPr>
        <w:t xml:space="preserve">لوحة التشغيل والتقارير  </w:t>
      </w:r>
      <w:r>
        <w:rPr>
          <w:rFonts w:ascii="Arial" w:hAnsi="Arial" w:eastAsia="Arial"/>
          <w:b w:val="0"/>
          <w:color w:val="232323"/>
          <w:sz w:val="19"/>
          <w:rtl/>
        </w:rPr>
        <w:t>لوحة للمبيعات والكميات والنواقص والعملاء والأصناف المميزة، وتقارير يومية وشهرية وربع سنوية وسنوية قابلة للتصدير إلى Excel وPDF.</w:t>
      </w:r>
    </w:p>
    <w:p>
      <w:pPr>
        <w:spacing w:before="60" w:after="60"/>
        <w:jc w:val="right"/>
        <w:bidi/>
      </w:pPr>
      <w:r>
        <w:rPr>
          <w:rFonts w:ascii="Arial" w:hAnsi="Arial" w:eastAsia="Arial"/>
          <w:color w:val="5A5A5A"/>
          <w:sz w:val="16"/>
          <w:rtl/>
        </w:rPr>
        <w:t>السعر يشمل كامل الوحدات المذكورة. لا يشمل المحاسبة الكاملة، مشتريات الموردين، ربط البصمة أو الرسائل، ترحيل البيانات القديمة، أو رسوم الاستضافة.</w:t>
      </w:r>
    </w:p>
    <w:p>
      <w:pPr>
        <w:pStyle w:val="Heading1"/>
        <w:jc w:val="right"/>
        <w:bidi/>
      </w:pPr>
      <w:r>
        <w:rPr>
          <w:rFonts w:ascii="Arial" w:hAnsi="Arial" w:eastAsia="Arial"/>
          <w:rtl/>
        </w:rPr>
        <w:t>التقنيات المستخدمة</w:t>
      </w:r>
    </w:p>
    <w:p>
      <w:pPr>
        <w:jc w:val="right"/>
        <w:bidi/>
      </w:pPr>
      <w:r>
        <w:rPr>
          <w:rFonts w:ascii="Arial" w:hAnsi="Arial" w:eastAsia="Arial"/>
          <w:b w:val="0"/>
          <w:rtl/>
        </w:rPr>
        <w:t>التقنيات المستخدمة: React لواجهة النظام، Python لتشغيل الوظائف، وPostgreSQL لحفظ البيانات. الاستضافة عبر Vercel للواجهة وRender للخادم، مع Supabase لقاعدة البيانات.</w:t>
      </w:r>
    </w:p>
    <w:p>
      <w:pPr>
        <w:pStyle w:val="Heading1"/>
        <w:jc w:val="right"/>
        <w:bidi/>
      </w:pPr>
      <w:r>
        <w:rPr>
          <w:rFonts w:ascii="Arial" w:hAnsi="Arial" w:eastAsia="Arial"/>
          <w:rtl/>
        </w:rPr>
        <w:t>سعر التنفيذ</w:t>
      </w:r>
    </w:p>
    <w:tbl>
      <w:tblPr>
        <w:tblStyle w:val="TableGrid"/>
        <w:tblW w:type="auto" w:w="0"/>
        <w:tblLayout w:type="fixed"/>
        <w:tblLook w:firstColumn="1" w:firstRow="1" w:lastColumn="0" w:lastRow="0" w:noHBand="0" w:noVBand="1" w:val="04A0"/>
      </w:tblPr>
      <w:tblGrid>
        <w:gridCol w:w="6912"/>
        <w:gridCol w:w="2376"/>
      </w:tblGrid>
      <w:tr>
        <w:tc>
          <w:tcPr>
            <w:tcW w:type="dxa" w:w="5227"/>
            <w:shd w:fill="17365D"/>
            <w:tcMar>
              <w:top w:w="55" w:type="dxa"/>
              <w:start w:w="80" w:type="dxa"/>
              <w:bottom w:w="55" w:type="dxa"/>
              <w:end w:w="80" w:type="dxa"/>
            </w:tcMar>
          </w:tcPr>
          <w:p>
            <w:pPr>
              <w:spacing w:after="0" w:line="240" w:lineRule="auto"/>
              <w:jc w:val="right"/>
              <w:bidi/>
            </w:pPr>
            <w:r>
              <w:rPr>
                <w:rFonts w:ascii="Arial" w:hAnsi="Arial" w:eastAsia="Arial"/>
                <w:b/>
                <w:color w:val="FFFFFF"/>
                <w:sz w:val="18"/>
                <w:rtl/>
              </w:rPr>
            </w:r>
            <w:r>
              <w:rPr>
                <w:rFonts w:ascii="Arial" w:hAnsi="Arial" w:eastAsia="Arial"/>
                <w:b/>
                <w:color w:val="FFFFFF"/>
                <w:sz w:val="18"/>
                <w:rtl/>
              </w:rPr>
              <w:t>الدفعة</w:t>
            </w:r>
          </w:p>
        </w:tc>
        <w:tc>
          <w:tcPr>
            <w:tcW w:type="dxa" w:w="5227"/>
            <w:shd w:fill="17365D"/>
            <w:tcMar>
              <w:top w:w="55" w:type="dxa"/>
              <w:start w:w="80" w:type="dxa"/>
              <w:bottom w:w="55" w:type="dxa"/>
              <w:end w:w="80" w:type="dxa"/>
            </w:tcMar>
          </w:tcPr>
          <w:p>
            <w:pPr>
              <w:spacing w:after="0" w:line="240" w:lineRule="auto"/>
              <w:jc w:val="right"/>
              <w:bidi/>
            </w:pPr>
            <w:r>
              <w:rPr>
                <w:rFonts w:ascii="Arial" w:hAnsi="Arial" w:eastAsia="Arial"/>
                <w:b/>
                <w:color w:val="FFFFFF"/>
                <w:sz w:val="18"/>
                <w:rtl/>
              </w:rPr>
            </w:r>
            <w:r>
              <w:rPr>
                <w:rFonts w:ascii="Arial" w:hAnsi="Arial" w:eastAsia="Arial"/>
                <w:b/>
                <w:color w:val="FFFFFF"/>
                <w:sz w:val="18"/>
                <w:rtl/>
              </w:rPr>
              <w:t>القيمة</w:t>
            </w:r>
          </w:p>
        </w:tc>
      </w:tr>
      <w:tr>
        <w:tc>
          <w:tcPr>
            <w:tcW w:type="dxa" w:w="6912"/>
            <w:shd w:fill="F5F7FA"/>
            <w:tcMar>
              <w:top w:w="55" w:type="dxa"/>
              <w:start w:w="80" w:type="dxa"/>
              <w:bottom w:w="55" w:type="dxa"/>
              <w:end w:w="80" w:type="dxa"/>
            </w:tcMar>
          </w:tcPr>
          <w:p>
            <w:pPr>
              <w:spacing w:after="0" w:line="240" w:lineRule="auto"/>
              <w:jc w:val="right"/>
              <w:bidi/>
            </w:pPr>
            <w:r>
              <w:rPr>
                <w:rFonts w:ascii="Arial" w:hAnsi="Arial" w:eastAsia="Arial"/>
                <w:b w:val="0"/>
                <w:sz w:val="16"/>
                <w:rtl/>
              </w:rPr>
            </w:r>
            <w:r>
              <w:rPr>
                <w:rFonts w:ascii="Arial" w:hAnsi="Arial" w:eastAsia="Arial"/>
                <w:b w:val="0"/>
                <w:sz w:val="16"/>
                <w:rtl/>
              </w:rPr>
              <w:t>بدء العمل</w:t>
            </w:r>
          </w:p>
        </w:tc>
        <w:tc>
          <w:tcPr>
            <w:tcW w:type="dxa" w:w="2376"/>
            <w:shd w:fill="F5F7FA"/>
            <w:tcMar>
              <w:top w:w="55" w:type="dxa"/>
              <w:start w:w="80" w:type="dxa"/>
              <w:bottom w:w="55" w:type="dxa"/>
              <w:end w:w="80" w:type="dxa"/>
            </w:tcMar>
          </w:tcPr>
          <w:p>
            <w:pPr>
              <w:spacing w:after="0" w:line="240" w:lineRule="auto"/>
              <w:jc w:val="right"/>
              <w:bidi/>
            </w:pPr>
            <w:r>
              <w:rPr>
                <w:rFonts w:ascii="Arial" w:hAnsi="Arial" w:eastAsia="Arial"/>
                <w:b/>
                <w:sz w:val="16"/>
                <w:rtl/>
              </w:rPr>
            </w:r>
            <w:r>
              <w:rPr>
                <w:rFonts w:ascii="Arial" w:hAnsi="Arial" w:eastAsia="Arial"/>
                <w:b/>
                <w:sz w:val="16"/>
                <w:rtl/>
              </w:rPr>
              <w:t>8,000 جنيه (40%)</w:t>
            </w:r>
          </w:p>
        </w:tc>
      </w:tr>
      <w:tr>
        <w:tc>
          <w:tcPr>
            <w:tcW w:type="dxa" w:w="6912"/>
            <w:shd w:fill="F5F7FA"/>
            <w:tcMar>
              <w:top w:w="55" w:type="dxa"/>
              <w:start w:w="80" w:type="dxa"/>
              <w:bottom w:w="55" w:type="dxa"/>
              <w:end w:w="80" w:type="dxa"/>
            </w:tcMar>
          </w:tcPr>
          <w:p>
            <w:pPr>
              <w:spacing w:after="0" w:line="240" w:lineRule="auto"/>
              <w:jc w:val="right"/>
              <w:bidi/>
            </w:pPr>
            <w:r>
              <w:rPr>
                <w:rFonts w:ascii="Arial" w:hAnsi="Arial" w:eastAsia="Arial"/>
                <w:b w:val="0"/>
                <w:sz w:val="16"/>
                <w:rtl/>
              </w:rPr>
            </w:r>
            <w:r>
              <w:rPr>
                <w:rFonts w:ascii="Arial" w:hAnsi="Arial" w:eastAsia="Arial"/>
                <w:b w:val="0"/>
                <w:sz w:val="16"/>
                <w:rtl/>
              </w:rPr>
              <w:t>بعد إنجاز الوظائف الأساسية</w:t>
            </w:r>
          </w:p>
        </w:tc>
        <w:tc>
          <w:tcPr>
            <w:tcW w:type="dxa" w:w="2376"/>
            <w:shd w:fill="F5F7FA"/>
            <w:tcMar>
              <w:top w:w="55" w:type="dxa"/>
              <w:start w:w="80" w:type="dxa"/>
              <w:bottom w:w="55" w:type="dxa"/>
              <w:end w:w="80" w:type="dxa"/>
            </w:tcMar>
          </w:tcPr>
          <w:p>
            <w:pPr>
              <w:spacing w:after="0" w:line="240" w:lineRule="auto"/>
              <w:jc w:val="right"/>
              <w:bidi/>
            </w:pPr>
            <w:r>
              <w:rPr>
                <w:rFonts w:ascii="Arial" w:hAnsi="Arial" w:eastAsia="Arial"/>
                <w:b/>
                <w:sz w:val="16"/>
                <w:rtl/>
              </w:rPr>
            </w:r>
            <w:r>
              <w:rPr>
                <w:rFonts w:ascii="Arial" w:hAnsi="Arial" w:eastAsia="Arial"/>
                <w:b/>
                <w:sz w:val="16"/>
                <w:rtl/>
              </w:rPr>
              <w:t>8,000 جنيه (40%)</w:t>
            </w:r>
          </w:p>
        </w:tc>
      </w:tr>
      <w:tr>
        <w:tc>
          <w:tcPr>
            <w:tcW w:type="dxa" w:w="6912"/>
            <w:shd w:fill="F5F7FA"/>
            <w:tcMar>
              <w:top w:w="55" w:type="dxa"/>
              <w:start w:w="80" w:type="dxa"/>
              <w:bottom w:w="55" w:type="dxa"/>
              <w:end w:w="80" w:type="dxa"/>
            </w:tcMar>
          </w:tcPr>
          <w:p>
            <w:pPr>
              <w:spacing w:after="0" w:line="240" w:lineRule="auto"/>
              <w:jc w:val="right"/>
              <w:bidi/>
            </w:pPr>
            <w:r>
              <w:rPr>
                <w:rFonts w:ascii="Arial" w:hAnsi="Arial" w:eastAsia="Arial"/>
                <w:b w:val="0"/>
                <w:sz w:val="16"/>
                <w:rtl/>
              </w:rPr>
            </w:r>
            <w:r>
              <w:rPr>
                <w:rFonts w:ascii="Arial" w:hAnsi="Arial" w:eastAsia="Arial"/>
                <w:b w:val="0"/>
                <w:sz w:val="16"/>
                <w:rtl/>
              </w:rPr>
              <w:t>عند التسليم</w:t>
            </w:r>
          </w:p>
        </w:tc>
        <w:tc>
          <w:tcPr>
            <w:tcW w:type="dxa" w:w="2376"/>
            <w:shd w:fill="F5F7FA"/>
            <w:tcMar>
              <w:top w:w="55" w:type="dxa"/>
              <w:start w:w="80" w:type="dxa"/>
              <w:bottom w:w="55" w:type="dxa"/>
              <w:end w:w="80" w:type="dxa"/>
            </w:tcMar>
          </w:tcPr>
          <w:p>
            <w:pPr>
              <w:spacing w:after="0" w:line="240" w:lineRule="auto"/>
              <w:jc w:val="right"/>
              <w:bidi/>
            </w:pPr>
            <w:r>
              <w:rPr>
                <w:rFonts w:ascii="Arial" w:hAnsi="Arial" w:eastAsia="Arial"/>
                <w:b/>
                <w:sz w:val="16"/>
                <w:rtl/>
              </w:rPr>
            </w:r>
            <w:r>
              <w:rPr>
                <w:rFonts w:ascii="Arial" w:hAnsi="Arial" w:eastAsia="Arial"/>
                <w:b/>
                <w:sz w:val="16"/>
                <w:rtl/>
              </w:rPr>
              <w:t>4,000 جنيه (20%)</w:t>
            </w:r>
          </w:p>
        </w:tc>
      </w:tr>
    </w:tbl>
    <w:p>
      <w:pPr>
        <w:jc w:val="right"/>
        <w:bidi/>
      </w:pPr>
      <w:r>
        <w:rPr>
          <w:rFonts w:ascii="Arial" w:hAnsi="Arial" w:eastAsia="Arial"/>
          <w:b/>
          <w:sz w:val="20"/>
          <w:rtl/>
        </w:rPr>
        <w:t>إجمالي التنفيذ: 20,000 جنيه مصري.</w:t>
      </w:r>
    </w:p>
    <w:p>
      <w:pPr>
        <w:pStyle w:val="Heading1"/>
        <w:jc w:val="right"/>
        <w:bidi/>
      </w:pPr>
      <w:r>
        <w:rPr>
          <w:rFonts w:ascii="Arial" w:hAnsi="Arial" w:eastAsia="Arial"/>
          <w:rtl/>
        </w:rPr>
        <w:t>الاستضافة والتخزين</w:t>
      </w:r>
    </w:p>
    <w:tbl>
      <w:tblPr>
        <w:tblStyle w:val="TableGrid"/>
        <w:tblW w:type="auto" w:w="0"/>
        <w:tblLayout w:type="fixed"/>
        <w:tblLook w:firstColumn="1" w:firstRow="1" w:lastColumn="0" w:lastRow="0" w:noHBand="0" w:noVBand="1" w:val="04A0"/>
      </w:tblPr>
      <w:tblGrid>
        <w:gridCol w:w="1800"/>
        <w:gridCol w:w="3816"/>
        <w:gridCol w:w="3960"/>
      </w:tblGrid>
      <w:tr>
        <w:tc>
          <w:tcPr>
            <w:tcW w:type="dxa" w:w="3485"/>
            <w:shd w:fill="17365D"/>
            <w:tcMar>
              <w:top w:w="55" w:type="dxa"/>
              <w:start w:w="80" w:type="dxa"/>
              <w:bottom w:w="55" w:type="dxa"/>
              <w:end w:w="80" w:type="dxa"/>
            </w:tcMar>
          </w:tcPr>
          <w:p>
            <w:pPr>
              <w:spacing w:after="0" w:line="240" w:lineRule="auto"/>
              <w:jc w:val="right"/>
              <w:bidi/>
            </w:pPr>
            <w:r>
              <w:rPr>
                <w:rFonts w:ascii="Arial" w:hAnsi="Arial" w:eastAsia="Arial"/>
                <w:b/>
                <w:color w:val="FFFFFF"/>
                <w:sz w:val="17"/>
                <w:rtl/>
              </w:rPr>
            </w:r>
            <w:r>
              <w:rPr>
                <w:rFonts w:ascii="Arial" w:hAnsi="Arial" w:eastAsia="Arial"/>
                <w:b/>
                <w:color w:val="FFFFFF"/>
                <w:sz w:val="17"/>
                <w:rtl/>
              </w:rPr>
              <w:t>الخدمة</w:t>
            </w:r>
          </w:p>
        </w:tc>
        <w:tc>
          <w:tcPr>
            <w:tcW w:type="dxa" w:w="3485"/>
            <w:shd w:fill="17365D"/>
            <w:tcMar>
              <w:top w:w="55" w:type="dxa"/>
              <w:start w:w="80" w:type="dxa"/>
              <w:bottom w:w="55" w:type="dxa"/>
              <w:end w:w="80" w:type="dxa"/>
            </w:tcMar>
          </w:tcPr>
          <w:p>
            <w:pPr>
              <w:spacing w:after="0" w:line="240" w:lineRule="auto"/>
              <w:jc w:val="right"/>
              <w:bidi/>
            </w:pPr>
            <w:r>
              <w:rPr>
                <w:rFonts w:ascii="Arial" w:hAnsi="Arial" w:eastAsia="Arial"/>
                <w:b/>
                <w:color w:val="FFFFFF"/>
                <w:sz w:val="17"/>
                <w:rtl/>
              </w:rPr>
            </w:r>
            <w:r>
              <w:rPr>
                <w:rFonts w:ascii="Arial" w:hAnsi="Arial" w:eastAsia="Arial"/>
                <w:b/>
                <w:color w:val="FFFFFF"/>
                <w:sz w:val="17"/>
                <w:rtl/>
              </w:rPr>
              <w:t>المجاني</w:t>
            </w:r>
          </w:p>
        </w:tc>
        <w:tc>
          <w:tcPr>
            <w:tcW w:type="dxa" w:w="3485"/>
            <w:shd w:fill="17365D"/>
            <w:tcMar>
              <w:top w:w="55" w:type="dxa"/>
              <w:start w:w="80" w:type="dxa"/>
              <w:bottom w:w="55" w:type="dxa"/>
              <w:end w:w="80" w:type="dxa"/>
            </w:tcMar>
          </w:tcPr>
          <w:p>
            <w:pPr>
              <w:spacing w:after="0" w:line="240" w:lineRule="auto"/>
              <w:jc w:val="right"/>
              <w:bidi/>
            </w:pPr>
            <w:r>
              <w:rPr>
                <w:rFonts w:ascii="Arial" w:hAnsi="Arial" w:eastAsia="Arial"/>
                <w:b/>
                <w:color w:val="FFFFFF"/>
                <w:sz w:val="17"/>
                <w:rtl/>
              </w:rPr>
            </w:r>
            <w:r>
              <w:rPr>
                <w:rFonts w:ascii="Arial" w:hAnsi="Arial" w:eastAsia="Arial"/>
                <w:b/>
                <w:color w:val="FFFFFF"/>
                <w:sz w:val="17"/>
                <w:rtl/>
              </w:rPr>
              <w:t>المدفوع عند التشغيل</w:t>
            </w:r>
          </w:p>
        </w:tc>
      </w:tr>
      <w:tr>
        <w:tc>
          <w:tcPr>
            <w:tcW w:type="dxa" w:w="1800"/>
            <w:shd w:fill="F5F7FA"/>
            <w:tcMar>
              <w:top w:w="55" w:type="dxa"/>
              <w:start w:w="80" w:type="dxa"/>
              <w:bottom w:w="55" w:type="dxa"/>
              <w:end w:w="80" w:type="dxa"/>
            </w:tcMar>
          </w:tcPr>
          <w:p>
            <w:pPr>
              <w:spacing w:after="0" w:line="240" w:lineRule="auto"/>
              <w:jc w:val="right"/>
              <w:bidi/>
            </w:pPr>
            <w:r>
              <w:rPr>
                <w:rFonts w:ascii="Arial" w:hAnsi="Arial" w:eastAsia="Arial"/>
                <w:b/>
                <w:sz w:val="16"/>
                <w:rtl/>
              </w:rPr>
            </w:r>
            <w:r>
              <w:rPr>
                <w:rFonts w:ascii="Arial" w:hAnsi="Arial" w:eastAsia="Arial"/>
                <w:b/>
                <w:sz w:val="16"/>
                <w:rtl/>
              </w:rPr>
              <w:t>قاعدة البيانات</w:t>
              <w:br/>
              <w:t>Supabase</w:t>
            </w:r>
          </w:p>
        </w:tc>
        <w:tc>
          <w:tcPr>
            <w:tcW w:type="dxa" w:w="3816"/>
            <w:shd w:fill="F5F7FA"/>
            <w:tcMar>
              <w:top w:w="55" w:type="dxa"/>
              <w:start w:w="80" w:type="dxa"/>
              <w:bottom w:w="55" w:type="dxa"/>
              <w:end w:w="80" w:type="dxa"/>
            </w:tcMar>
          </w:tcPr>
          <w:p>
            <w:pPr>
              <w:spacing w:after="0" w:line="240" w:lineRule="auto"/>
              <w:jc w:val="right"/>
              <w:bidi/>
            </w:pPr>
            <w:r>
              <w:rPr>
                <w:rFonts w:ascii="Arial" w:hAnsi="Arial" w:eastAsia="Arial"/>
                <w:b w:val="0"/>
                <w:sz w:val="16"/>
                <w:rtl/>
              </w:rPr>
            </w:r>
            <w:r>
              <w:rPr>
                <w:rFonts w:ascii="Arial" w:hAnsi="Arial" w:eastAsia="Arial"/>
                <w:b w:val="0"/>
                <w:sz w:val="16"/>
                <w:rtl/>
              </w:rPr>
              <w:t>500 ميجابايت بيانات؛ قد يتوقف المشروع قليل الاستخدام.</w:t>
            </w:r>
          </w:p>
        </w:tc>
        <w:tc>
          <w:tcPr>
            <w:tcW w:type="dxa" w:w="3960"/>
            <w:shd w:fill="F5F7FA"/>
            <w:tcMar>
              <w:top w:w="55" w:type="dxa"/>
              <w:start w:w="80" w:type="dxa"/>
              <w:bottom w:w="55" w:type="dxa"/>
              <w:end w:w="80" w:type="dxa"/>
            </w:tcMar>
          </w:tcPr>
          <w:p>
            <w:pPr>
              <w:spacing w:after="0" w:line="240" w:lineRule="auto"/>
              <w:jc w:val="right"/>
              <w:bidi/>
            </w:pPr>
            <w:r>
              <w:rPr>
                <w:rFonts w:ascii="Arial" w:hAnsi="Arial" w:eastAsia="Arial"/>
                <w:b w:val="0"/>
                <w:sz w:val="16"/>
                <w:rtl/>
              </w:rPr>
            </w:r>
            <w:r>
              <w:rPr>
                <w:rFonts w:ascii="Arial" w:hAnsi="Arial" w:eastAsia="Arial"/>
                <w:b w:val="0"/>
                <w:sz w:val="16"/>
                <w:rtl/>
              </w:rPr>
              <w:t>25 دولارًا/شهر.</w:t>
            </w:r>
          </w:p>
        </w:tc>
      </w:tr>
      <w:tr>
        <w:tc>
          <w:tcPr>
            <w:tcW w:type="dxa" w:w="1800"/>
            <w:shd w:fill="F5F7FA"/>
            <w:tcMar>
              <w:top w:w="55" w:type="dxa"/>
              <w:start w:w="80" w:type="dxa"/>
              <w:bottom w:w="55" w:type="dxa"/>
              <w:end w:w="80" w:type="dxa"/>
            </w:tcMar>
          </w:tcPr>
          <w:p>
            <w:pPr>
              <w:spacing w:after="0" w:line="240" w:lineRule="auto"/>
              <w:jc w:val="right"/>
              <w:bidi/>
            </w:pPr>
            <w:r>
              <w:rPr>
                <w:rFonts w:ascii="Arial" w:hAnsi="Arial" w:eastAsia="Arial"/>
                <w:b/>
                <w:sz w:val="16"/>
                <w:rtl/>
              </w:rPr>
            </w:r>
            <w:r>
              <w:rPr>
                <w:rFonts w:ascii="Arial" w:hAnsi="Arial" w:eastAsia="Arial"/>
                <w:b/>
                <w:sz w:val="16"/>
                <w:rtl/>
              </w:rPr>
              <w:t>خادم النظام</w:t>
              <w:br/>
              <w:t>Render</w:t>
            </w:r>
          </w:p>
        </w:tc>
        <w:tc>
          <w:tcPr>
            <w:tcW w:type="dxa" w:w="3816"/>
            <w:shd w:fill="F5F7FA"/>
            <w:tcMar>
              <w:top w:w="55" w:type="dxa"/>
              <w:start w:w="80" w:type="dxa"/>
              <w:bottom w:w="55" w:type="dxa"/>
              <w:end w:w="80" w:type="dxa"/>
            </w:tcMar>
          </w:tcPr>
          <w:p>
            <w:pPr>
              <w:spacing w:after="0" w:line="240" w:lineRule="auto"/>
              <w:jc w:val="right"/>
              <w:bidi/>
            </w:pPr>
            <w:r>
              <w:rPr>
                <w:rFonts w:ascii="Arial" w:hAnsi="Arial" w:eastAsia="Arial"/>
                <w:b w:val="0"/>
                <w:sz w:val="16"/>
                <w:rtl/>
              </w:rPr>
            </w:r>
            <w:r>
              <w:rPr>
                <w:rFonts w:ascii="Arial" w:hAnsi="Arial" w:eastAsia="Arial"/>
                <w:b w:val="0"/>
                <w:sz w:val="16"/>
                <w:rtl/>
              </w:rPr>
              <w:t>ينام عند عدم الاستخدام؛ قاعدة البيانات المجانية مؤقتة.</w:t>
            </w:r>
          </w:p>
        </w:tc>
        <w:tc>
          <w:tcPr>
            <w:tcW w:type="dxa" w:w="3960"/>
            <w:shd w:fill="F5F7FA"/>
            <w:tcMar>
              <w:top w:w="55" w:type="dxa"/>
              <w:start w:w="80" w:type="dxa"/>
              <w:bottom w:w="55" w:type="dxa"/>
              <w:end w:w="80" w:type="dxa"/>
            </w:tcMar>
          </w:tcPr>
          <w:p>
            <w:pPr>
              <w:spacing w:after="0" w:line="240" w:lineRule="auto"/>
              <w:jc w:val="right"/>
              <w:bidi/>
            </w:pPr>
            <w:r>
              <w:rPr>
                <w:rFonts w:ascii="Arial" w:hAnsi="Arial" w:eastAsia="Arial"/>
                <w:b w:val="0"/>
                <w:sz w:val="16"/>
                <w:rtl/>
              </w:rPr>
            </w:r>
            <w:r>
              <w:rPr>
                <w:rFonts w:ascii="Arial" w:hAnsi="Arial" w:eastAsia="Arial"/>
                <w:b w:val="0"/>
                <w:sz w:val="16"/>
                <w:rtl/>
              </w:rPr>
              <w:t>يبدأ من 7 دولارات/شهر.</w:t>
            </w:r>
          </w:p>
        </w:tc>
      </w:tr>
      <w:tr>
        <w:tc>
          <w:tcPr>
            <w:tcW w:type="dxa" w:w="1800"/>
            <w:shd w:fill="F5F7FA"/>
            <w:tcMar>
              <w:top w:w="55" w:type="dxa"/>
              <w:start w:w="80" w:type="dxa"/>
              <w:bottom w:w="55" w:type="dxa"/>
              <w:end w:w="80" w:type="dxa"/>
            </w:tcMar>
          </w:tcPr>
          <w:p>
            <w:pPr>
              <w:spacing w:after="0" w:line="240" w:lineRule="auto"/>
              <w:jc w:val="right"/>
              <w:bidi/>
            </w:pPr>
            <w:r>
              <w:rPr>
                <w:rFonts w:ascii="Arial" w:hAnsi="Arial" w:eastAsia="Arial"/>
                <w:b/>
                <w:sz w:val="16"/>
                <w:rtl/>
              </w:rPr>
            </w:r>
            <w:r>
              <w:rPr>
                <w:rFonts w:ascii="Arial" w:hAnsi="Arial" w:eastAsia="Arial"/>
                <w:b/>
                <w:sz w:val="16"/>
                <w:rtl/>
              </w:rPr>
              <w:t>واجهة النظام</w:t>
              <w:br/>
              <w:t>Vercel</w:t>
            </w:r>
          </w:p>
        </w:tc>
        <w:tc>
          <w:tcPr>
            <w:tcW w:type="dxa" w:w="3816"/>
            <w:shd w:fill="F5F7FA"/>
            <w:tcMar>
              <w:top w:w="55" w:type="dxa"/>
              <w:start w:w="80" w:type="dxa"/>
              <w:bottom w:w="55" w:type="dxa"/>
              <w:end w:w="80" w:type="dxa"/>
            </w:tcMar>
          </w:tcPr>
          <w:p>
            <w:pPr>
              <w:spacing w:after="0" w:line="240" w:lineRule="auto"/>
              <w:jc w:val="right"/>
              <w:bidi/>
            </w:pPr>
            <w:r>
              <w:rPr>
                <w:rFonts w:ascii="Arial" w:hAnsi="Arial" w:eastAsia="Arial"/>
                <w:b w:val="0"/>
                <w:sz w:val="16"/>
                <w:rtl/>
              </w:rPr>
            </w:r>
            <w:r>
              <w:rPr>
                <w:rFonts w:ascii="Arial" w:hAnsi="Arial" w:eastAsia="Arial"/>
                <w:b w:val="0"/>
                <w:sz w:val="16"/>
                <w:rtl/>
              </w:rPr>
              <w:t>للتجربة الشخصية فقط.</w:t>
            </w:r>
          </w:p>
        </w:tc>
        <w:tc>
          <w:tcPr>
            <w:tcW w:type="dxa" w:w="3960"/>
            <w:shd w:fill="F5F7FA"/>
            <w:tcMar>
              <w:top w:w="55" w:type="dxa"/>
              <w:start w:w="80" w:type="dxa"/>
              <w:bottom w:w="55" w:type="dxa"/>
              <w:end w:w="80" w:type="dxa"/>
            </w:tcMar>
          </w:tcPr>
          <w:p>
            <w:pPr>
              <w:spacing w:after="0" w:line="240" w:lineRule="auto"/>
              <w:jc w:val="right"/>
              <w:bidi/>
            </w:pPr>
            <w:r>
              <w:rPr>
                <w:rFonts w:ascii="Arial" w:hAnsi="Arial" w:eastAsia="Arial"/>
                <w:b w:val="0"/>
                <w:sz w:val="16"/>
                <w:rtl/>
              </w:rPr>
            </w:r>
            <w:r>
              <w:rPr>
                <w:rFonts w:ascii="Arial" w:hAnsi="Arial" w:eastAsia="Arial"/>
                <w:b w:val="0"/>
                <w:sz w:val="16"/>
                <w:rtl/>
              </w:rPr>
              <w:t>20 دولارًا/شهر للاستخدام التجاري.</w:t>
            </w:r>
          </w:p>
        </w:tc>
      </w:tr>
    </w:tbl>
    <w:p>
      <w:pPr>
        <w:jc w:val="right"/>
        <w:bidi/>
      </w:pPr>
      <w:r>
        <w:rPr>
          <w:rFonts w:ascii="Arial" w:hAnsi="Arial" w:eastAsia="Arial"/>
          <w:b w:val="0"/>
          <w:sz w:val="17"/>
          <w:rtl/>
        </w:rPr>
        <w:t>إجمالي الخطط المدفوعة المقترحة: حوالي 52 دولارًا شهريًا (قرابة 2,780 جنيهًا)، أو 33,400 جنيه سنويًا. المبلغ بالجنيه تقديري ويتغير مع سعر الصرف. الدومين والضرائب وأي استخدام إضافي تُدفع منفصلة.</w:t>
      </w:r>
    </w:p>
    <w:p>
      <w:pPr>
        <w:pStyle w:val="Heading1"/>
        <w:jc w:val="right"/>
        <w:bidi/>
      </w:pPr>
      <w:r>
        <w:rPr>
          <w:rFonts w:ascii="Arial" w:hAnsi="Arial" w:eastAsia="Arial"/>
          <w:rtl/>
        </w:rPr>
        <w:t>المدة والصيانة</w:t>
      </w:r>
    </w:p>
    <w:p>
      <w:pPr>
        <w:jc w:val="right"/>
        <w:bidi/>
      </w:pPr>
      <w:r>
        <w:rPr>
          <w:rFonts w:ascii="Arial" w:hAnsi="Arial" w:eastAsia="Arial"/>
          <w:rtl/>
        </w:rPr>
        <w:t>يتم تسليم أول نسخة تجريبية خلال أسبوعين من بدء العمل. يشمل النظام ضمانًا لمدة سنة لمعالجة الأخطاء ضمن النطاق المتفق عليه. تُقدّر تكلفة ومدة أي تعديل إضافي بحسب حجمه، بعد الاتفاق عليه. الاشتراكات السحابية يدفعها العميل مباشرةً لمزودي الخدمة.</w:t>
      </w:r>
    </w:p>
    <w:p>
      <w:pPr>
        <w:pStyle w:val="Heading1"/>
        <w:jc w:val="right"/>
        <w:bidi/>
      </w:pPr>
      <w:r>
        <w:rPr>
          <w:rFonts w:ascii="Arial" w:hAnsi="Arial" w:eastAsia="Arial"/>
          <w:rtl/>
        </w:rPr>
        <w:t>التوقيع</w:t>
      </w:r>
    </w:p>
    <w:p>
      <w:pPr>
        <w:jc w:val="right"/>
        <w:bidi/>
      </w:pPr>
      <w:r>
        <w:rPr>
          <w:rFonts w:ascii="Arial" w:hAnsi="Arial" w:eastAsia="Arial"/>
          <w:b w:val="0"/>
          <w:rtl/>
        </w:rPr>
        <w:t>مقدم الخدمة: ____________________   التوقيع: ________________</w:t>
      </w:r>
    </w:p>
    <w:p>
      <w:pPr>
        <w:jc w:val="right"/>
        <w:bidi/>
      </w:pPr>
      <w:r>
        <w:rPr>
          <w:rFonts w:ascii="Arial" w:hAnsi="Arial" w:eastAsia="Arial"/>
          <w:b w:val="0"/>
          <w:rtl/>
        </w:rPr>
        <w:t>مصنع القمة: _______________________   التوقيع: ________________</w:t>
      </w:r>
    </w:p>
    <w:sectPr w:rsidR="00FC693F" w:rsidRPr="0006063C" w:rsidSect="00034616">
      <w:footerReference w:type="default" r:id="rId9"/>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olor w:val="646464"/>
        <w:sz w:val="15"/>
      </w:rPr>
      <w:t>عرض سعر مبدئي - مصنع القمة للملابس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eastAsia="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eastAsia="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