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Kirish sxemasi maydonlar ro‘yxati va biznes validatsiya</w:t>
      </w:r>
    </w:p>
    <w:p>
      <w:r>
        <w:t>6 modul  |  55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Allowlist va Mass assignment tushunchalarini izohlaydi; Tip va oraliq qo‘llanishini namunada ajratadi.</w:t>
      </w:r>
    </w:p>
    <w:p>
      <w:pPr>
        <w:pStyle w:val="Heading2"/>
      </w:pPr>
      <w:r>
        <w:t>Tayanch bilimlar</w:t>
      </w:r>
    </w:p>
    <w:p>
      <w:r>
        <w:t>6-modulning 1–54-mavzulari. Oldingi dars natijasini eslang; yangi tushunchalar quyida tushuntiriladi.</w:t>
      </w:r>
    </w:p>
    <w:p>
      <w:pPr>
        <w:pStyle w:val="Heading1"/>
      </w:pPr>
      <w:r>
        <w:t>Mavzuning mazmuni</w:t>
      </w:r>
    </w:p>
    <w:p>
      <w:r>
        <w:t>API chegarasiga kelgan qiymatni ishonchli deb olish mumkin emas. Bir tekshiruv barcha muammolarni hal qilmaydi: format, biznes qoida, SQL qiymati va brauzerda chiqarish har biri o‘z joyida boshqariladi. Natija rad etilganda mijoz nima tuzatishini tushunishi, server esa ichki tafsilotlarni oshkor qilmasligi kerak.</w:t>
      </w:r>
    </w:p>
    <w:p>
      <w:pPr>
        <w:pStyle w:val="Heading2"/>
      </w:pPr>
      <w:r>
        <w:t>Allowlist</w:t>
      </w:r>
    </w:p>
    <w:p>
      <w:r>
        <w:t>Faqat belgilangan maydonlarni qabul qilish siyosati. Masalan title va done yangilanadi, user_id va role mijozdan ko‘chirilmaydi.</w:t>
      </w:r>
    </w:p>
    <w:p>
      <w:pPr>
        <w:pStyle w:val="Heading2"/>
      </w:pPr>
      <w:r>
        <w:t>Mass assignment</w:t>
      </w:r>
    </w:p>
    <w:p>
      <w:r>
        <w:t>Kelgan obyektning barcha maydonlarini tekshirishsiz modelga o‘tkazish. Object.assign bilan begona maydonlar huquq yoki egani o‘zgartirishi mumkin.</w:t>
      </w:r>
    </w:p>
    <w:p>
      <w:pPr>
        <w:pStyle w:val="Heading2"/>
      </w:pPr>
      <w:r>
        <w:t>Tip va oraliq</w:t>
      </w:r>
    </w:p>
    <w:p>
      <w:r>
        <w:t>Sonning sonligi, mantiqiy qiymatning booleanligi va matn uzunligi alohida tekshiriladi. true bilan "true" matni bir xil tip emas.</w:t>
      </w:r>
    </w:p>
    <w:p>
      <w:pPr>
        <w:pStyle w:val="Heading2"/>
      </w:pPr>
      <w:r>
        <w:t>Biznes validatsiya</w:t>
      </w:r>
    </w:p>
    <w:p>
      <w:r>
        <w:t>Format to‘g‘ri bo‘lsa ham amal qoidaga zid bo‘lishi mumkin. Masalan yopilgan buyurtmaga yangi mahsulot qo‘shish rad etiladi.</w:t>
      </w:r>
    </w:p>
    <w:p>
      <w:pPr>
        <w:pStyle w:val="Heading2"/>
      </w:pPr>
      <w:r>
        <w:t>Izchil xato</w:t>
      </w:r>
    </w:p>
    <w:p>
      <w:r>
        <w:t>Qaysi maydon tekshiruvdan o‘tmaganini xavfsiz tushuntiradi. Maxfiy qiymat yoki ichki baza tafsiloti xabarga qo‘shilmaydi.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function patchInput(body){</w:t>
      </w:r>
    </w:p>
    <w:p>
      <w:pPr>
        <w:spacing w:after="0"/>
      </w:pPr>
      <w:r>
        <w:t xml:space="preserve">  if(!body||typeof body!=="object"||Array.isArray(body)) return null;</w:t>
      </w:r>
    </w:p>
    <w:p>
      <w:pPr>
        <w:spacing w:after="0"/>
      </w:pPr>
      <w:r>
        <w:t xml:space="preserve">  if(Object.keys(body).some(k=&gt;!["title","done"].includes(k))) return null;</w:t>
      </w:r>
    </w:p>
    <w:p>
      <w:pPr>
        <w:spacing w:after="0"/>
      </w:pPr>
      <w:r>
        <w:t xml:space="preserve">  if("done" in body &amp;&amp; typeof body.done!=="boolean") return null;</w:t>
      </w:r>
    </w:p>
    <w:p>
      <w:pPr>
        <w:spacing w:after="0"/>
      </w:pPr>
      <w:r>
        <w:t xml:space="preserve">  return body;</w:t>
      </w:r>
    </w:p>
    <w:p>
      <w:pPr>
        <w:spacing w:after="0"/>
      </w:pPr>
      <w:r>
        <w:t>}</w:t>
      </w:r>
    </w:p>
    <w:p>
      <w:pPr>
        <w:spacing w:after="0"/>
      </w:pPr>
      <w:r>
        <w:t>console.log(patchInput({role:"admin"}));</w:t>
      </w:r>
    </w:p>
    <w:p>
      <w:pPr>
        <w:spacing w:after="0"/>
      </w:pPr>
      <w:r>
        <w:t>console.log(JSON.stringify(patchInput({done:true})));</w:t>
      </w:r>
    </w:p>
    <w:p>
      <w:pPr>
        <w:pStyle w:val="Heading2"/>
      </w:pPr>
      <w:r>
        <w:t>Namuna natijasi</w:t>
      </w:r>
    </w:p>
    <w:p>
      <w:r>
        <w:t>null va {"done":true} chiqadi. Title uzunligi oldingi validator bilan qo‘shimcha tekshiriladi.</w:t>
      </w:r>
    </w:p>
    <w:p>
      <w:pPr>
        <w:pStyle w:val="Heading2"/>
      </w:pPr>
      <w:r>
        <w:t>Ko‘p uchraydigan xato</w:t>
      </w:r>
    </w:p>
    <w:p>
      <w:r>
        <w:t>Object.assign(task, req.body) yozishning o‘zi tekshirish yoki ruxsat nazorati emas.</w:t>
      </w:r>
    </w:p>
    <w:p>
      <w:pPr>
        <w:pStyle w:val="Heading1"/>
      </w:pPr>
      <w:r>
        <w:t>Mavzuni mustahkamlash</w:t>
      </w:r>
    </w:p>
    <w:p>
      <w:r>
        <w:t>Asosiy tushunchalarni izohlang, namunadagi kirish va natijani ajrating. Kodni kuzatish bu darsning qismi; mustaqil amaliy ish keyingi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Allowlist va Mass assignment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Allowlist — Faqat belgilangan maydonlarni qabul qilish siyosati.</w:t>
      </w:r>
    </w:p>
    <w:p>
      <w:r>
        <w:t>Mass assignment — Kelgan obyektning barcha maydonlarini tekshirishsiz modelga o‘tkazish.</w:t>
      </w:r>
    </w:p>
    <w:p>
      <w:r>
        <w:t>Tip va oraliq — Sonning sonligi, mantiqiy qiymatning booleanligi va matn uzunligi alohida tekshiriladi.</w:t>
      </w:r>
    </w:p>
    <w:p>
      <w:r>
        <w:t>Biznes validatsiya — Format to‘g‘ri bo‘lsa ham amal qoidaga zid bo‘lishi mumkin.</w:t>
      </w:r>
    </w:p>
    <w:p>
      <w:r>
        <w:t>Izchil xato — Qaysi maydon tekshiruvdan o‘tmaganini xavfsiz tushuntiradi.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OWASP kirish tekshiruvi</w:t>
        </w:r>
      </w:hyperlink>
    </w:p>
    <w:p>
      <w:hyperlink r:id="rId11">
        <w:r>
          <w:rPr>
            <w:rFonts w:ascii="Calibri" w:hAnsi="Calibri"/>
            <w:sz w:val="28"/>
          </w:rPr>
          <w:t>SQLite tranzaksiya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heatsheetseries.owasp.org/cheatsheets/Input_Validation_Cheat_Sheet.html" TargetMode="External"/><Relationship Id="rId11" Type="http://schemas.openxmlformats.org/officeDocument/2006/relationships/hyperlink" Target="https://www.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