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 diagramma va bog‘lanish kardinalligi</w:t>
      </w:r>
    </w:p>
    <w:p>
      <w:r>
        <w:t>7 modul  |  7 mavzu  |  2 soat  |  Nazariy</w:t>
      </w:r>
    </w:p>
    <w:p>
      <w:r>
        <w:t>Ubaydullayev Abdukarim  |  Namangan shahar 3 sonli texnikum</w:t>
        <w:br/>
        <w:t>3 IT  |  2026/2027</w:t>
      </w:r>
    </w:p>
    <w:p>
      <w:pPr>
        <w:pStyle w:val="Heading1"/>
      </w:pPr>
      <w:r>
        <w:t>Dars maqsadi</w:t>
      </w:r>
    </w:p>
    <w:p>
      <w:r>
        <w:t>Entity va Birga ko‘p vazifalarini izohlaydi; Ko‘pga ko‘p qo‘llanishini misolda ajratadi.</w:t>
      </w:r>
    </w:p>
    <w:p>
      <w:pPr>
        <w:pStyle w:val="Heading2"/>
      </w:pPr>
      <w:r>
        <w:t>Tayanch bilimlar</w:t>
      </w:r>
    </w:p>
    <w:p>
      <w:r>
        <w:t>7-modulning 1–6-mavzulari. Yangi tushunchalar ushbu darsda izohlanadi.</w:t>
      </w:r>
    </w:p>
    <w:p>
      <w:pPr>
        <w:pStyle w:val="Heading1"/>
      </w:pPr>
      <w:r>
        <w:t>Mavzuning mazmuni</w:t>
      </w:r>
    </w:p>
    <w:p>
      <w:r>
        <w:t>Bazani qurishdan avval nimani saqlash va qanday qoida bilan bog‘lash aniqlanadi. Ushbu modulda texnikum kutubxonasi izchil misol bo‘ladi. Kitob, a’zo va kitob berish hodisasini ajratish keyingi SQL so‘rovlarini tushunishga tayanch beradi.</w:t>
      </w:r>
    </w:p>
    <w:p>
      <w:pPr>
        <w:pStyle w:val="Heading2"/>
      </w:pPr>
      <w:r>
        <w:t>Entity</w:t>
      </w:r>
    </w:p>
    <w:p>
      <w:r>
        <w:t>Kitob, a’zo yoki berish hodisasi kabi mustaqil mavjudlik. Har biri o‘z ma’nosi va hayot sikliga ega.</w:t>
      </w:r>
    </w:p>
    <w:p>
      <w:pPr>
        <w:pStyle w:val="Heading2"/>
      </w:pPr>
      <w:r>
        <w:t>Birga ko‘p</w:t>
      </w:r>
    </w:p>
    <w:p>
      <w:r>
        <w:t>Bitta kategoriya ko‘p kitobga tegishli bo‘lishi mumkin. Tashqi kalit ko‘p tomondagi jadvalda saqlanadi.</w:t>
      </w:r>
    </w:p>
    <w:p>
      <w:pPr>
        <w:pStyle w:val="Heading2"/>
      </w:pPr>
      <w:r>
        <w:t>Ko‘pga ko‘p</w:t>
      </w:r>
    </w:p>
    <w:p>
      <w:r>
        <w:t>Bitta talaba ko‘p kursga, bitta kurs ko‘p talabaga bog‘lanadi. Bunday aloqa odatda oraliq jadval orqali ifodalanadi.</w:t>
      </w:r>
    </w:p>
    <w:p>
      <w:pPr>
        <w:pStyle w:val="Heading2"/>
      </w:pPr>
      <w:r>
        <w:t>Oraliq jadval</w:t>
      </w:r>
    </w:p>
    <w:p>
      <w:r>
        <w:t>Ikki tomon kalitlarini va bog‘lanish xususiyatlarini saqlaydi. Enrollment yozuvida talaba, kurs va ro‘yxatdan o‘tish sanasi turishi mumkin.</w:t>
      </w:r>
    </w:p>
    <w:p>
      <w:pPr>
        <w:pStyle w:val="Heading2"/>
      </w:pPr>
      <w:r>
        <w:t>Kardinallik</w:t>
      </w:r>
    </w:p>
    <w:p>
      <w:r>
        <w:t>Bog‘lanishda nechta yozuv ishtirok etishini bildiradi. Majburiy yoki ixtiyoriy qatnashish ham alohida ko‘rsatiladi.</w:t>
      </w:r>
    </w:p>
    <w:p>
      <w:pPr>
        <w:pStyle w:val="Heading1"/>
      </w:pPr>
      <w:r>
        <w:t>Namuna va bajarish muhiti</w:t>
      </w:r>
    </w:p>
    <w:p>
      <w:r>
        <w:t>Bu model yoki tahlil topshirig‘i. Sxema va yozma hisobot tuzing; matnni SQL sifatida bajarish talab etilmaydi.</w:t>
      </w:r>
    </w:p>
    <w:p>
      <w:pPr>
        <w:spacing w:after="0"/>
      </w:pPr>
      <w:r>
        <w:t>categories 1 → N books</w:t>
      </w:r>
    </w:p>
    <w:p>
      <w:pPr>
        <w:spacing w:after="0"/>
      </w:pPr>
      <w:r>
        <w:t>members 1 → N loans</w:t>
      </w:r>
    </w:p>
    <w:p>
      <w:pPr>
        <w:spacing w:after="0"/>
      </w:pPr>
      <w:r>
        <w:t>books 1 → N loans</w:t>
      </w:r>
    </w:p>
    <w:p>
      <w:pPr>
        <w:pStyle w:val="Heading2"/>
      </w:pPr>
      <w:r>
        <w:t>Kutiladigan natija</w:t>
      </w:r>
    </w:p>
    <w:p>
      <w:r>
        <w:t>Kutubxona ER modelida loans hodisasi ikkita birga-ko‘p bog‘lanishni birlashtiradi.</w:t>
      </w:r>
    </w:p>
    <w:p>
      <w:pPr>
        <w:pStyle w:val="Heading2"/>
      </w:pPr>
      <w:r>
        <w:t>Xatoni tushunish</w:t>
      </w:r>
    </w:p>
    <w:p>
      <w:r>
        <w:t>Bir katakka vergul bilan bir nechta id yozish to‘liq boshqariladigan bog‘lanish o‘rnini bosmaydi.</w:t>
      </w:r>
    </w:p>
    <w:p>
      <w:pPr>
        <w:pStyle w:val="Heading1"/>
      </w:pPr>
      <w:r>
        <w:t>Mustahkamlash</w:t>
      </w:r>
    </w:p>
    <w:p>
      <w:r>
        <w:t>Asosiy tushunchalarni misol bilan izohlang. Namunaning kirish va natijasini ajrating; mustaqil vazifa keyingi amaliy darsda beriladi.</w:t>
      </w:r>
    </w:p>
    <w:p>
      <w:pPr>
        <w:pStyle w:val="Heading2"/>
      </w:pPr>
      <w:r>
        <w:t>Tekshirish mezonlari</w:t>
      </w:r>
    </w:p>
    <w:p>
      <w:pPr>
        <w:pStyle w:val="ListBullet"/>
      </w:pPr>
      <w:r>
        <w:t>Entity vazifasi misol bilan tushuntirilgan.</w:t>
      </w:r>
    </w:p>
    <w:p>
      <w:pPr>
        <w:pStyle w:val="ListBullet"/>
      </w:pPr>
      <w:r>
        <w:t>Namuna muhiti va natijasi to‘g‘ri ajratilgan.</w:t>
      </w:r>
    </w:p>
    <w:p>
      <w:pPr>
        <w:pStyle w:val="ListBullet"/>
      </w:pPr>
      <w:r>
        <w:t>Tegishli xato yoki chegaraviy holat tekshirilgan.</w:t>
      </w:r>
    </w:p>
    <w:p>
      <w:pPr>
        <w:pStyle w:val="ListBullet"/>
      </w:pPr>
      <w:r>
        <w:t>Natija va xulosa yozilgan.</w:t>
      </w:r>
    </w:p>
    <w:p>
      <w:pPr>
        <w:pStyle w:val="Heading1"/>
      </w:pPr>
      <w:r>
        <w:t>Atamalar</w:t>
      </w:r>
    </w:p>
    <w:p>
      <w:r>
        <w:t>Entity — Kitob, a’zo yoki berish hodisasi kabi mustaqil mavjudlik.</w:t>
      </w:r>
    </w:p>
    <w:p>
      <w:r>
        <w:t>Birga ko‘p — Bitta kategoriya ko‘p kitobga tegishli bo‘lishi mumkin.</w:t>
      </w:r>
    </w:p>
    <w:p>
      <w:r>
        <w:t>Ko‘pga ko‘p — Bitta talaba ko‘p kursga, bitta kurs ko‘p talabaga bog‘lanadi.</w:t>
      </w:r>
    </w:p>
    <w:p>
      <w:r>
        <w:t>Oraliq jadval — Ikki tomon kalitlarini va bog‘lanish xususiyatlarini saqlaydi.</w:t>
      </w:r>
    </w:p>
    <w:p>
      <w:r>
        <w:t>Kardinallik — Bog‘lanishda nechta yozuv ishtirok etishini bildiradi.</w:t>
      </w:r>
    </w:p>
    <w:p>
      <w:pPr>
        <w:pStyle w:val="Heading1"/>
      </w:pPr>
      <w:r>
        <w:t>Manbalar</w:t>
      </w:r>
    </w:p>
    <w:p>
      <w:hyperlink r:id="rId10">
        <w:r>
          <w:t>PostgreSQL asoslari</w:t>
        </w:r>
      </w:hyperlink>
      <w:r>
        <w:t xml:space="preserve"> · </w:t>
      </w:r>
      <w:hyperlink r:id="rId11">
        <w:r>
          <w:t>SQLite tushunchalari</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7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ostgresql.org/docs/18/tutorial.html" TargetMode="External"/><Relationship Id="rId11" Type="http://schemas.openxmlformats.org/officeDocument/2006/relationships/hyperlink" Target="https://sqlite.org/whentou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