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Normalizatsiya va takroriy ma’lumot muammolari</w:t>
      </w:r>
    </w:p>
    <w:p>
      <w:r>
        <w:t>7 modul  |  9 mavzu  |  2 soat  |  Nazariy</w:t>
      </w:r>
    </w:p>
    <w:p>
      <w:r>
        <w:t>Ubaydullayev Abdukarim  |  Namangan shahar 3 sonli texnikum</w:t>
        <w:br/>
        <w:t>3 IT  |  2026/2027</w:t>
      </w:r>
    </w:p>
    <w:p>
      <w:pPr>
        <w:pStyle w:val="Heading1"/>
      </w:pPr>
      <w:r>
        <w:t>Dars maqsadi</w:t>
      </w:r>
    </w:p>
    <w:p>
      <w:r>
        <w:t>Anomaliya va Birinchi normal shakl vazifalarini izohlaydi; Ikkinchi normal shakl qo‘llanishini misolda ajratadi.</w:t>
      </w:r>
    </w:p>
    <w:p>
      <w:pPr>
        <w:pStyle w:val="Heading2"/>
      </w:pPr>
      <w:r>
        <w:t>Tayanch bilimlar</w:t>
      </w:r>
    </w:p>
    <w:p>
      <w:r>
        <w:t>7-modulning 1–8-mavzulari. Yangi tushunchalar ushbu darsda izohlanadi.</w:t>
      </w:r>
    </w:p>
    <w:p>
      <w:pPr>
        <w:pStyle w:val="Heading1"/>
      </w:pPr>
      <w:r>
        <w:t>Mavzuning mazmuni</w:t>
      </w:r>
    </w:p>
    <w:p>
      <w:r>
        <w:t>Bazani qurishdan avval nimani saqlash va qanday qoida bilan bog‘lash aniqlanadi. Ushbu modulda texnikum kutubxonasi izchil misol bo‘ladi. Kitob, a’zo va kitob berish hodisasini ajratish keyingi SQL so‘rovlarini tushunishga tayanch beradi.</w:t>
      </w:r>
    </w:p>
    <w:p>
      <w:pPr>
        <w:pStyle w:val="Heading2"/>
      </w:pPr>
      <w:r>
        <w:t>Anomaliya</w:t>
      </w:r>
    </w:p>
    <w:p>
      <w:r>
        <w:t>Takroriy ma’lumot sabab yangilash, qo‘shish yoki o‘chirishdagi nomuvofiqlik. Kategoriya nomini o‘n satrda alohida tuzatish bunga misoldir.</w:t>
      </w:r>
    </w:p>
    <w:p>
      <w:pPr>
        <w:pStyle w:val="Heading2"/>
      </w:pPr>
      <w:r>
        <w:t>Birinchi normal shakl</w:t>
      </w:r>
    </w:p>
    <w:p>
      <w:r>
        <w:t>Har atribut qiymati tanlangan domen doirasida yaxlit bo‘ladi va takrorlanuvchi ustun guruhlari ajratiladi. Bitta katakdagi mustaqil kitoblar ro‘yxati alohida yozuvlarga chiqariladi.</w:t>
      </w:r>
    </w:p>
    <w:p>
      <w:pPr>
        <w:pStyle w:val="Heading2"/>
      </w:pPr>
      <w:r>
        <w:t>Ikkinchi normal shakl</w:t>
      </w:r>
    </w:p>
    <w:p>
      <w:r>
        <w:t>Birinchi shaklga qo‘shimcha ravishda kalit bo‘lmagan atribut nomzod kalitning faqat bir qismiga bog‘lanib qolmaydi. Ayniqsa qo‘shma kalitlarda tekshiriladi.</w:t>
      </w:r>
    </w:p>
    <w:p>
      <w:pPr>
        <w:pStyle w:val="Heading2"/>
      </w:pPr>
      <w:r>
        <w:t>Uchinchi normal shakl</w:t>
      </w:r>
    </w:p>
    <w:p>
      <w:r>
        <w:t>Funksional bog‘liqliklar tekshiriladi: har bir notrivial bog‘liqlikning aniqlovchisi superkalit yoki bog‘liq atribut nomzod kalit tarkibida bo‘lishi kerak. Oddiy holatda kalit bo‘lmagan atribut orqali boshqa nomni takror saqlashdan qochiladi.</w:t>
      </w:r>
    </w:p>
    <w:p>
      <w:pPr>
        <w:pStyle w:val="Heading2"/>
      </w:pPr>
      <w:r>
        <w:t>Denormalizatsiya</w:t>
      </w:r>
    </w:p>
    <w:p>
      <w:r>
        <w:t>O‘lchangan o‘qish talabi uchun nazoratli takror kiritish. Qaysi nusxa asosiyligi va yangilanish tartibi hujjatlashtirilmasa ma’lumotlar ajralib ketadi.</w:t>
      </w:r>
    </w:p>
    <w:p>
      <w:pPr>
        <w:pStyle w:val="Heading1"/>
      </w:pPr>
      <w:r>
        <w:t>Namuna va bajarish muhiti</w:t>
      </w:r>
    </w:p>
    <w:p>
      <w:r>
        <w:t>Bu model yoki tahlil topshirig‘i. Sxema va yozma hisobot tuzing; matnni SQL sifatida bajarish talab etilmaydi.</w:t>
      </w:r>
    </w:p>
    <w:p>
      <w:pPr>
        <w:spacing w:after="0"/>
      </w:pPr>
      <w:r>
        <w:t>Oldin: book_id | title | category_name</w:t>
      </w:r>
    </w:p>
    <w:p>
      <w:pPr>
        <w:spacing w:after="0"/>
      </w:pPr>
      <w:r>
        <w:t>Keyin: categories(id,name) va books(id,title,category_id)</w:t>
      </w:r>
    </w:p>
    <w:p>
      <w:pPr>
        <w:pStyle w:val="Heading2"/>
      </w:pPr>
      <w:r>
        <w:t>Kutiladigan natija</w:t>
      </w:r>
    </w:p>
    <w:p>
      <w:r>
        <w:t>Kategoriya nomi bitta joyda saqlanadi; kitob uni tashqi kalit bilan bildiradi.</w:t>
      </w:r>
    </w:p>
    <w:p>
      <w:pPr>
        <w:pStyle w:val="Heading2"/>
      </w:pPr>
      <w:r>
        <w:t>Xatoni tushunish</w:t>
      </w:r>
    </w:p>
    <w:p>
      <w:r>
        <w:t>Jadvalni shunchaki ko‘p bo‘lakka bo‘lish normalizatsiya qoidalariga rioya etilganini isbotlamaydi.</w:t>
      </w:r>
    </w:p>
    <w:p>
      <w:pPr>
        <w:pStyle w:val="Heading1"/>
      </w:pPr>
      <w:r>
        <w:t>Mustahkamlash</w:t>
      </w:r>
    </w:p>
    <w:p>
      <w:r>
        <w:t>Asosiy tushunchalarni misol bilan izohlang. Namunaning kirish va natijasini ajrating; mustaqil vazifa keyingi amaliy darsda beriladi.</w:t>
      </w:r>
    </w:p>
    <w:p>
      <w:pPr>
        <w:pStyle w:val="Heading2"/>
      </w:pPr>
      <w:r>
        <w:t>Tekshirish mezonlari</w:t>
      </w:r>
    </w:p>
    <w:p>
      <w:pPr>
        <w:pStyle w:val="ListBullet"/>
      </w:pPr>
      <w:r>
        <w:t>Anomaliya vazifasi misol bilan tushuntirilgan.</w:t>
      </w:r>
    </w:p>
    <w:p>
      <w:pPr>
        <w:pStyle w:val="ListBullet"/>
      </w:pPr>
      <w:r>
        <w:t>Namuna muhiti va natijasi to‘g‘ri ajratilgan.</w:t>
      </w:r>
    </w:p>
    <w:p>
      <w:pPr>
        <w:pStyle w:val="ListBullet"/>
      </w:pPr>
      <w:r>
        <w:t>Tegishli xato yoki chegaraviy holat tekshirilgan.</w:t>
      </w:r>
    </w:p>
    <w:p>
      <w:pPr>
        <w:pStyle w:val="ListBullet"/>
      </w:pPr>
      <w:r>
        <w:t>Natija va xulosa yozilgan.</w:t>
      </w:r>
    </w:p>
    <w:p>
      <w:pPr>
        <w:pStyle w:val="Heading1"/>
      </w:pPr>
      <w:r>
        <w:t>Atamalar</w:t>
      </w:r>
    </w:p>
    <w:p>
      <w:r>
        <w:t>Anomaliya — Takroriy ma’lumot sabab yangilash, qo‘shish yoki o‘chirishdagi nomuvofiqlik.</w:t>
      </w:r>
    </w:p>
    <w:p>
      <w:r>
        <w:t>Birinchi normal shakl — Har atribut qiymati tanlangan domen doirasida yaxlit bo‘ladi va takrorlanuvchi ustun guruhlari ajratiladi.</w:t>
      </w:r>
    </w:p>
    <w:p>
      <w:r>
        <w:t>Ikkinchi normal shakl — Birinchi shaklga qo‘shimcha ravishda kalit bo‘lmagan atribut nomzod kalitning faqat bir qismiga bog‘lanib qolmaydi.</w:t>
      </w:r>
    </w:p>
    <w:p>
      <w:r>
        <w:t>Uchinchi normal shakl — Funksional bog‘liqliklar tekshiriladi: har bir notrivial bog‘liqlikning aniqlovchisi superkalit yoki bog‘liq atribut nomzod kalit tarkibida bo‘lishi kerak.</w:t>
      </w:r>
    </w:p>
    <w:p>
      <w:r>
        <w:t>Denormalizatsiya — O‘lchangan o‘qish talabi uchun nazoratli takror kiritish.</w:t>
      </w:r>
    </w:p>
    <w:p>
      <w:pPr>
        <w:pStyle w:val="Heading1"/>
      </w:pPr>
      <w:r>
        <w:t>Manbalar</w:t>
      </w:r>
    </w:p>
    <w:p>
      <w:hyperlink r:id="rId10">
        <w:r>
          <w:t>PostgreSQL asoslari</w:t>
        </w:r>
      </w:hyperlink>
      <w:r>
        <w:t xml:space="preserve"> · </w:t>
      </w:r>
      <w:hyperlink r:id="rId11">
        <w:r>
          <w:t>SQLite tushunchalari</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7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4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postgresql.org/docs/18/tutorial.html" TargetMode="External"/><Relationship Id="rId11" Type="http://schemas.openxmlformats.org/officeDocument/2006/relationships/hyperlink" Target="https://sqlite.org/whentous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